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4E62" w14:textId="58240200" w:rsidR="00540040" w:rsidRPr="00F56F80" w:rsidRDefault="00C752BD" w:rsidP="00FB337F">
      <w:pPr>
        <w:pStyle w:val="NoSpacing"/>
        <w:jc w:val="center"/>
        <w:rPr>
          <w:rFonts w:ascii="Arial" w:hAnsi="Arial" w:cs="Arial"/>
          <w:b/>
          <w:bCs/>
          <w:sz w:val="24"/>
          <w:szCs w:val="24"/>
        </w:rPr>
      </w:pPr>
      <w:r w:rsidRPr="00F56F80">
        <w:rPr>
          <w:rFonts w:ascii="Arial" w:hAnsi="Arial" w:cs="Arial"/>
          <w:b/>
          <w:bCs/>
          <w:sz w:val="24"/>
          <w:szCs w:val="24"/>
        </w:rPr>
        <w:t xml:space="preserve">New Discharge to Assess Service in the Independent </w:t>
      </w:r>
      <w:r w:rsidR="00B3317E" w:rsidRPr="00F56F80">
        <w:rPr>
          <w:rFonts w:ascii="Arial" w:hAnsi="Arial" w:cs="Arial"/>
          <w:b/>
          <w:bCs/>
          <w:sz w:val="24"/>
          <w:szCs w:val="24"/>
        </w:rPr>
        <w:t xml:space="preserve">Care Home </w:t>
      </w:r>
      <w:r w:rsidRPr="00F56F80">
        <w:rPr>
          <w:rFonts w:ascii="Arial" w:hAnsi="Arial" w:cs="Arial"/>
          <w:b/>
          <w:bCs/>
          <w:sz w:val="24"/>
          <w:szCs w:val="24"/>
        </w:rPr>
        <w:t>Sector</w:t>
      </w:r>
    </w:p>
    <w:p w14:paraId="0FEDA1E7" w14:textId="0604F684" w:rsidR="00C752BD" w:rsidRDefault="00C752BD" w:rsidP="00FB337F">
      <w:pPr>
        <w:pStyle w:val="NoSpacing"/>
        <w:jc w:val="center"/>
        <w:rPr>
          <w:rFonts w:ascii="Arial" w:hAnsi="Arial" w:cs="Arial"/>
          <w:i/>
          <w:iCs/>
          <w:sz w:val="24"/>
          <w:szCs w:val="24"/>
        </w:rPr>
      </w:pPr>
      <w:r w:rsidRPr="00F56F80">
        <w:rPr>
          <w:rFonts w:ascii="Arial" w:hAnsi="Arial" w:cs="Arial"/>
          <w:i/>
          <w:iCs/>
          <w:sz w:val="24"/>
          <w:szCs w:val="24"/>
        </w:rPr>
        <w:t>Frequently Asked Questions</w:t>
      </w:r>
    </w:p>
    <w:p w14:paraId="68B40A95" w14:textId="3C4C66D6" w:rsidR="004A069E" w:rsidRPr="00F56F80" w:rsidRDefault="004A069E" w:rsidP="00FB337F">
      <w:pPr>
        <w:pStyle w:val="NoSpacing"/>
        <w:jc w:val="center"/>
        <w:rPr>
          <w:rFonts w:ascii="Arial" w:hAnsi="Arial" w:cs="Arial"/>
          <w:i/>
          <w:iCs/>
          <w:sz w:val="24"/>
          <w:szCs w:val="24"/>
        </w:rPr>
      </w:pPr>
      <w:r>
        <w:rPr>
          <w:rFonts w:ascii="Arial" w:hAnsi="Arial" w:cs="Arial"/>
          <w:i/>
          <w:iCs/>
          <w:sz w:val="24"/>
          <w:szCs w:val="24"/>
        </w:rPr>
        <w:t>June 2024</w:t>
      </w:r>
    </w:p>
    <w:p w14:paraId="1845E9AF" w14:textId="20ED9CED" w:rsidR="00540040" w:rsidRPr="00540040" w:rsidRDefault="00540040" w:rsidP="00540040"/>
    <w:tbl>
      <w:tblPr>
        <w:tblStyle w:val="TableGrid"/>
        <w:tblW w:w="10348" w:type="dxa"/>
        <w:tblInd w:w="-714" w:type="dxa"/>
        <w:tblLook w:val="04A0" w:firstRow="1" w:lastRow="0" w:firstColumn="1" w:lastColumn="0" w:noHBand="0" w:noVBand="1"/>
      </w:tblPr>
      <w:tblGrid>
        <w:gridCol w:w="10348"/>
      </w:tblGrid>
      <w:tr w:rsidR="00540040" w:rsidRPr="00C65373" w14:paraId="283C145D" w14:textId="77777777" w:rsidTr="00F56F80">
        <w:trPr>
          <w:trHeight w:val="567"/>
        </w:trPr>
        <w:tc>
          <w:tcPr>
            <w:tcW w:w="10348" w:type="dxa"/>
            <w:shd w:val="clear" w:color="auto" w:fill="FFC000" w:themeFill="accent4"/>
            <w:vAlign w:val="center"/>
          </w:tcPr>
          <w:p w14:paraId="6086A385" w14:textId="5465096E" w:rsidR="00540040" w:rsidRPr="00540040" w:rsidRDefault="00540040" w:rsidP="00093249">
            <w:pPr>
              <w:jc w:val="center"/>
              <w:rPr>
                <w:rFonts w:ascii="Arial" w:hAnsi="Arial" w:cs="Arial"/>
                <w:b/>
                <w:bCs/>
                <w:sz w:val="24"/>
                <w:szCs w:val="24"/>
              </w:rPr>
            </w:pPr>
            <w:r w:rsidRPr="006030D2">
              <w:rPr>
                <w:rFonts w:ascii="Arial" w:hAnsi="Arial" w:cs="Arial"/>
                <w:b/>
                <w:bCs/>
                <w:sz w:val="24"/>
                <w:szCs w:val="24"/>
              </w:rPr>
              <w:t>Discharge planning/assessment</w:t>
            </w:r>
          </w:p>
        </w:tc>
      </w:tr>
      <w:tr w:rsidR="00F56F80" w:rsidRPr="00C65373" w14:paraId="3F4D9584" w14:textId="77777777" w:rsidTr="00F56F80">
        <w:trPr>
          <w:trHeight w:val="454"/>
        </w:trPr>
        <w:tc>
          <w:tcPr>
            <w:tcW w:w="10348" w:type="dxa"/>
            <w:shd w:val="clear" w:color="auto" w:fill="FFF2CC" w:themeFill="accent4" w:themeFillTint="33"/>
            <w:vAlign w:val="center"/>
          </w:tcPr>
          <w:p w14:paraId="34586CAA" w14:textId="1DBC9C90"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Does my home still need to go into the hospital to complete a pre-admission assessment?</w:t>
            </w:r>
          </w:p>
        </w:tc>
      </w:tr>
      <w:tr w:rsidR="00F56F80" w:rsidRPr="00C65373" w14:paraId="4A264C8D" w14:textId="77777777" w:rsidTr="00F56F80">
        <w:trPr>
          <w:trHeight w:val="1361"/>
        </w:trPr>
        <w:tc>
          <w:tcPr>
            <w:tcW w:w="10348" w:type="dxa"/>
            <w:vAlign w:val="center"/>
          </w:tcPr>
          <w:p w14:paraId="67CEFB81" w14:textId="77777777" w:rsidR="00F56F80" w:rsidRPr="00C752BD" w:rsidRDefault="00F56F80" w:rsidP="00F56F80">
            <w:pPr>
              <w:rPr>
                <w:rFonts w:ascii="Arial" w:hAnsi="Arial" w:cs="Arial"/>
              </w:rPr>
            </w:pPr>
            <w:r w:rsidRPr="00C752BD">
              <w:rPr>
                <w:rFonts w:ascii="Arial" w:hAnsi="Arial" w:cs="Arial"/>
              </w:rPr>
              <w:t>No, we are hoping that in most cases homes will accept the pre-discharge assessment completed by the staff working in the hospital discharge teams.</w:t>
            </w:r>
          </w:p>
          <w:p w14:paraId="0A9370BD" w14:textId="77777777" w:rsidR="00F56F80" w:rsidRPr="00C752BD" w:rsidRDefault="00F56F80" w:rsidP="00F56F80">
            <w:pPr>
              <w:rPr>
                <w:rFonts w:ascii="Arial" w:hAnsi="Arial" w:cs="Arial"/>
              </w:rPr>
            </w:pPr>
          </w:p>
          <w:p w14:paraId="0692D5F2" w14:textId="5558B336" w:rsidR="00F56F80" w:rsidRPr="00540040" w:rsidRDefault="00F56F80" w:rsidP="00F56F80">
            <w:pPr>
              <w:rPr>
                <w:rFonts w:ascii="Arial" w:hAnsi="Arial" w:cs="Arial"/>
              </w:rPr>
            </w:pPr>
            <w:r w:rsidRPr="00C752BD">
              <w:rPr>
                <w:rFonts w:ascii="Arial" w:hAnsi="Arial" w:cs="Arial"/>
              </w:rPr>
              <w:t xml:space="preserve">There is further work required in relation to this and key information around this will be shared and discussed in a future session that we are planning date to be confirmed. </w:t>
            </w:r>
          </w:p>
        </w:tc>
      </w:tr>
      <w:tr w:rsidR="00F56F80" w:rsidRPr="00C65373" w14:paraId="116CEA61" w14:textId="77777777" w:rsidTr="00F56F80">
        <w:trPr>
          <w:trHeight w:val="680"/>
        </w:trPr>
        <w:tc>
          <w:tcPr>
            <w:tcW w:w="10348" w:type="dxa"/>
            <w:shd w:val="clear" w:color="auto" w:fill="FFF2CC" w:themeFill="accent4" w:themeFillTint="33"/>
            <w:vAlign w:val="center"/>
          </w:tcPr>
          <w:p w14:paraId="1D56439F" w14:textId="253580F5"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Would I still know in advance what medication they are taking and confirm it with their pharmacy/GP as the homes policy, or just accept what they have bought with them from the hospital?</w:t>
            </w:r>
          </w:p>
        </w:tc>
      </w:tr>
      <w:tr w:rsidR="00F56F80" w:rsidRPr="00C65373" w14:paraId="597EFBA3" w14:textId="77777777" w:rsidTr="00F56F80">
        <w:trPr>
          <w:trHeight w:val="1361"/>
        </w:trPr>
        <w:tc>
          <w:tcPr>
            <w:tcW w:w="10348" w:type="dxa"/>
            <w:vAlign w:val="center"/>
          </w:tcPr>
          <w:p w14:paraId="10A0F293" w14:textId="77777777" w:rsidR="00F56F80" w:rsidRDefault="00F56F80" w:rsidP="00F56F80">
            <w:pPr>
              <w:rPr>
                <w:rFonts w:ascii="Arial" w:hAnsi="Arial" w:cs="Arial"/>
              </w:rPr>
            </w:pPr>
            <w:r w:rsidRPr="00C752BD">
              <w:rPr>
                <w:rFonts w:ascii="Arial" w:hAnsi="Arial" w:cs="Arial"/>
              </w:rPr>
              <w:t>Information regarding medication would be sent to the Care Home within the discharge summary.</w:t>
            </w:r>
            <w:r>
              <w:rPr>
                <w:rFonts w:ascii="Arial" w:hAnsi="Arial" w:cs="Arial"/>
              </w:rPr>
              <w:t xml:space="preserve"> </w:t>
            </w:r>
          </w:p>
          <w:p w14:paraId="0986B464" w14:textId="77777777" w:rsidR="00F56F80" w:rsidRDefault="00F56F80" w:rsidP="00F56F80">
            <w:pPr>
              <w:rPr>
                <w:rFonts w:ascii="Arial" w:hAnsi="Arial" w:cs="Arial"/>
              </w:rPr>
            </w:pPr>
          </w:p>
          <w:p w14:paraId="2D74160F" w14:textId="0FC322A5" w:rsidR="00F56F80" w:rsidRPr="00C752BD" w:rsidRDefault="00F56F80" w:rsidP="00F56F80">
            <w:pPr>
              <w:rPr>
                <w:rFonts w:ascii="Arial" w:hAnsi="Arial" w:cs="Arial"/>
              </w:rPr>
            </w:pPr>
            <w:r w:rsidRPr="00C752BD">
              <w:rPr>
                <w:rFonts w:ascii="Arial" w:hAnsi="Arial" w:cs="Arial"/>
              </w:rPr>
              <w:t>If a Care Home wanted further information in advance of discharge, they could contact the ward. This information will not be included in the Trusted Assessor document.</w:t>
            </w:r>
          </w:p>
        </w:tc>
      </w:tr>
      <w:tr w:rsidR="00F56F80" w:rsidRPr="00C65373" w14:paraId="1365D04C" w14:textId="77777777" w:rsidTr="00F56F80">
        <w:trPr>
          <w:trHeight w:val="680"/>
        </w:trPr>
        <w:tc>
          <w:tcPr>
            <w:tcW w:w="10348" w:type="dxa"/>
            <w:shd w:val="clear" w:color="auto" w:fill="FFF2CC" w:themeFill="accent4" w:themeFillTint="33"/>
            <w:vAlign w:val="center"/>
          </w:tcPr>
          <w:p w14:paraId="61945AA1" w14:textId="42C33ACD"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How are we going to ensure that everything is in place prior to discharge to minimise any problems e.g., medication/equipment etc?</w:t>
            </w:r>
          </w:p>
        </w:tc>
      </w:tr>
      <w:tr w:rsidR="00F56F80" w:rsidRPr="00C65373" w14:paraId="6B516696" w14:textId="77777777" w:rsidTr="00FB337F">
        <w:trPr>
          <w:trHeight w:val="1928"/>
        </w:trPr>
        <w:tc>
          <w:tcPr>
            <w:tcW w:w="10348" w:type="dxa"/>
            <w:vAlign w:val="center"/>
          </w:tcPr>
          <w:p w14:paraId="5C193126" w14:textId="55B15F29" w:rsidR="00F56F80" w:rsidRDefault="00F56F80" w:rsidP="00F56F80">
            <w:pPr>
              <w:jc w:val="both"/>
              <w:rPr>
                <w:rFonts w:ascii="Arial" w:hAnsi="Arial" w:cs="Arial"/>
              </w:rPr>
            </w:pPr>
            <w:r w:rsidRPr="00C752BD">
              <w:rPr>
                <w:rFonts w:ascii="Arial" w:hAnsi="Arial" w:cs="Arial"/>
              </w:rPr>
              <w:t>The hospital discharge teams and wards are all involved in the work that we are undertaking as a system to improve discharge and have responsibility for ensuring everything is in place prior to discharge.</w:t>
            </w:r>
            <w:r>
              <w:rPr>
                <w:rFonts w:ascii="Arial" w:hAnsi="Arial" w:cs="Arial"/>
              </w:rPr>
              <w:t xml:space="preserve"> </w:t>
            </w:r>
            <w:r w:rsidRPr="00C752BD">
              <w:rPr>
                <w:rFonts w:ascii="Arial" w:hAnsi="Arial" w:cs="Arial"/>
              </w:rPr>
              <w:t>We hope any issues with medication/equipment will be minimal.</w:t>
            </w:r>
          </w:p>
          <w:p w14:paraId="624EB6C1" w14:textId="77777777" w:rsidR="00F56F80" w:rsidRPr="00C752BD" w:rsidRDefault="00F56F80" w:rsidP="00F56F80">
            <w:pPr>
              <w:jc w:val="both"/>
              <w:rPr>
                <w:rFonts w:ascii="Arial" w:hAnsi="Arial" w:cs="Arial"/>
              </w:rPr>
            </w:pPr>
          </w:p>
          <w:p w14:paraId="31DFA1DD" w14:textId="2FC68796" w:rsidR="00F56F80" w:rsidRPr="00C752BD" w:rsidRDefault="00F56F80" w:rsidP="00F56F80">
            <w:pPr>
              <w:jc w:val="both"/>
              <w:rPr>
                <w:rFonts w:ascii="Arial" w:hAnsi="Arial" w:cs="Arial"/>
              </w:rPr>
            </w:pPr>
            <w:r w:rsidRPr="00C752BD">
              <w:rPr>
                <w:rFonts w:ascii="Arial" w:hAnsi="Arial" w:cs="Arial"/>
              </w:rPr>
              <w:t>However, we accept this may happen so we are building in mechanisms for feedback and will be capturing this during the initial implementation phase so we are aware of any challenges and can make changes/improvements as required.</w:t>
            </w:r>
          </w:p>
        </w:tc>
      </w:tr>
      <w:tr w:rsidR="00F56F80" w:rsidRPr="00C65373" w14:paraId="6452527D" w14:textId="77777777" w:rsidTr="00F56F80">
        <w:trPr>
          <w:trHeight w:val="454"/>
        </w:trPr>
        <w:tc>
          <w:tcPr>
            <w:tcW w:w="10348" w:type="dxa"/>
            <w:shd w:val="clear" w:color="auto" w:fill="FFF2CC" w:themeFill="accent4" w:themeFillTint="33"/>
            <w:vAlign w:val="center"/>
          </w:tcPr>
          <w:p w14:paraId="4049A52C" w14:textId="04D606D7"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Will relatives have the time to look around the Care Homes to choose one that is best for them?</w:t>
            </w:r>
          </w:p>
        </w:tc>
      </w:tr>
      <w:tr w:rsidR="00F56F80" w:rsidRPr="00C65373" w14:paraId="31EAB585" w14:textId="77777777" w:rsidTr="00F56F80">
        <w:trPr>
          <w:trHeight w:val="1020"/>
        </w:trPr>
        <w:tc>
          <w:tcPr>
            <w:tcW w:w="10348" w:type="dxa"/>
            <w:vAlign w:val="center"/>
          </w:tcPr>
          <w:p w14:paraId="5FF0BF60" w14:textId="4527BCA7" w:rsidR="00F56F80" w:rsidRPr="00C752BD" w:rsidRDefault="00F56F80" w:rsidP="00F56F80">
            <w:pPr>
              <w:rPr>
                <w:rFonts w:ascii="Arial" w:hAnsi="Arial" w:cs="Arial"/>
              </w:rPr>
            </w:pPr>
            <w:r>
              <w:rPr>
                <w:rFonts w:ascii="Arial" w:hAnsi="Arial" w:cs="Arial"/>
              </w:rPr>
              <w:t xml:space="preserve">We will endeavour to enable this; however, this placement is for a temporary assessment period so choice could be limited dependant upon the number of Care Homes that sign up to deliver the service and bed availability. </w:t>
            </w:r>
          </w:p>
        </w:tc>
      </w:tr>
      <w:tr w:rsidR="00F56F80" w:rsidRPr="00C65373" w14:paraId="0D1FDA8F" w14:textId="77777777" w:rsidTr="00F56F80">
        <w:trPr>
          <w:trHeight w:val="454"/>
        </w:trPr>
        <w:tc>
          <w:tcPr>
            <w:tcW w:w="10348" w:type="dxa"/>
            <w:shd w:val="clear" w:color="auto" w:fill="FFF2CC" w:themeFill="accent4" w:themeFillTint="33"/>
            <w:vAlign w:val="center"/>
          </w:tcPr>
          <w:p w14:paraId="45C0B656" w14:textId="6A240CAE" w:rsidR="00F56F80" w:rsidRPr="003275CA" w:rsidRDefault="00F56F80" w:rsidP="003275CA">
            <w:pPr>
              <w:pStyle w:val="ListParagraph"/>
              <w:numPr>
                <w:ilvl w:val="0"/>
                <w:numId w:val="3"/>
              </w:numPr>
              <w:rPr>
                <w:rFonts w:ascii="Arial" w:hAnsi="Arial" w:cs="Arial"/>
              </w:rPr>
            </w:pPr>
            <w:r w:rsidRPr="003275CA">
              <w:rPr>
                <w:rFonts w:ascii="Arial" w:hAnsi="Arial" w:cs="Arial"/>
              </w:rPr>
              <w:t>What if a person's family don’t want them to come to my Care Home?</w:t>
            </w:r>
          </w:p>
        </w:tc>
      </w:tr>
      <w:tr w:rsidR="00F56F80" w:rsidRPr="00C65373" w14:paraId="722DB997" w14:textId="77777777" w:rsidTr="00B3317E">
        <w:trPr>
          <w:trHeight w:val="2494"/>
        </w:trPr>
        <w:tc>
          <w:tcPr>
            <w:tcW w:w="10348" w:type="dxa"/>
            <w:vAlign w:val="center"/>
          </w:tcPr>
          <w:p w14:paraId="2F7CFAD1" w14:textId="77777777" w:rsidR="00F56F80" w:rsidRDefault="00F56F80" w:rsidP="00F56F80">
            <w:pPr>
              <w:jc w:val="both"/>
              <w:rPr>
                <w:rFonts w:ascii="Arial" w:hAnsi="Arial" w:cs="Arial"/>
              </w:rPr>
            </w:pPr>
            <w:r w:rsidRPr="006236D7">
              <w:rPr>
                <w:rFonts w:ascii="Arial" w:hAnsi="Arial" w:cs="Arial"/>
              </w:rPr>
              <w:t>We will endeavour to facilitate choice where possible.</w:t>
            </w:r>
          </w:p>
          <w:p w14:paraId="68AEE9D5" w14:textId="77777777" w:rsidR="00F56F80" w:rsidRPr="006236D7" w:rsidRDefault="00F56F80" w:rsidP="00F56F80">
            <w:pPr>
              <w:jc w:val="both"/>
              <w:rPr>
                <w:rFonts w:ascii="Arial" w:hAnsi="Arial" w:cs="Arial"/>
              </w:rPr>
            </w:pPr>
          </w:p>
          <w:p w14:paraId="453F07A1" w14:textId="19B84091" w:rsidR="00F56F80" w:rsidRDefault="00F56F80" w:rsidP="00F56F80">
            <w:pPr>
              <w:jc w:val="both"/>
              <w:rPr>
                <w:rFonts w:ascii="Arial" w:hAnsi="Arial" w:cs="Arial"/>
              </w:rPr>
            </w:pPr>
            <w:r w:rsidRPr="006236D7">
              <w:rPr>
                <w:rFonts w:ascii="Arial" w:hAnsi="Arial" w:cs="Arial"/>
              </w:rPr>
              <w:t>The choice of Care Home and rationale for choosing a particular Care Home will be determined based on a range of factors for example the persons assessed needs, bed availability, geographical location etc and this will be discussed with the person and their families in advance of discharge.</w:t>
            </w:r>
          </w:p>
          <w:p w14:paraId="1BB9238E" w14:textId="77777777" w:rsidR="00F56F80" w:rsidRPr="006236D7" w:rsidRDefault="00F56F80" w:rsidP="00F56F80">
            <w:pPr>
              <w:jc w:val="both"/>
              <w:rPr>
                <w:rFonts w:ascii="Arial" w:hAnsi="Arial" w:cs="Arial"/>
              </w:rPr>
            </w:pPr>
          </w:p>
          <w:p w14:paraId="02542C22" w14:textId="0407551E" w:rsidR="00F56F80" w:rsidRDefault="00F56F80" w:rsidP="00F56F80">
            <w:pPr>
              <w:jc w:val="both"/>
              <w:rPr>
                <w:rFonts w:ascii="Arial" w:hAnsi="Arial" w:cs="Arial"/>
              </w:rPr>
            </w:pPr>
            <w:r w:rsidRPr="006236D7">
              <w:rPr>
                <w:rFonts w:ascii="Arial" w:hAnsi="Arial" w:cs="Arial"/>
              </w:rPr>
              <w:t>It is acknowledged that choice may be limited due to the number of Care Homes delivering the DTA service. It would be explained that this is a time limited service to enable assessment to determine longer term need and final placement.</w:t>
            </w:r>
          </w:p>
        </w:tc>
      </w:tr>
      <w:tr w:rsidR="00F56F80" w:rsidRPr="00C65373" w14:paraId="17323E52" w14:textId="77777777" w:rsidTr="00F56F80">
        <w:trPr>
          <w:trHeight w:val="567"/>
        </w:trPr>
        <w:tc>
          <w:tcPr>
            <w:tcW w:w="10348" w:type="dxa"/>
            <w:shd w:val="clear" w:color="auto" w:fill="FFC000" w:themeFill="accent4"/>
            <w:vAlign w:val="center"/>
          </w:tcPr>
          <w:p w14:paraId="6D3EA44E" w14:textId="77777777" w:rsidR="00F56F80" w:rsidRPr="006030D2" w:rsidRDefault="00F56F80" w:rsidP="00F56F80">
            <w:pPr>
              <w:jc w:val="both"/>
              <w:rPr>
                <w:rFonts w:ascii="Arial" w:hAnsi="Arial" w:cs="Arial"/>
                <w:color w:val="FFF2CC" w:themeColor="accent4" w:themeTint="33"/>
              </w:rPr>
            </w:pPr>
          </w:p>
        </w:tc>
      </w:tr>
    </w:tbl>
    <w:p w14:paraId="17121E00" w14:textId="77777777" w:rsidR="006030D2" w:rsidRDefault="006030D2" w:rsidP="00B918BB">
      <w:pPr>
        <w:rPr>
          <w:rFonts w:ascii="Arial" w:hAnsi="Arial" w:cs="Arial"/>
        </w:rPr>
      </w:pPr>
    </w:p>
    <w:p w14:paraId="68569FEC" w14:textId="77777777" w:rsidR="00FB337F" w:rsidRDefault="00FB337F" w:rsidP="00B918BB">
      <w:pPr>
        <w:rPr>
          <w:rFonts w:ascii="Arial" w:hAnsi="Arial" w:cs="Arial"/>
        </w:rPr>
      </w:pPr>
    </w:p>
    <w:tbl>
      <w:tblPr>
        <w:tblStyle w:val="TableGrid"/>
        <w:tblW w:w="10348" w:type="dxa"/>
        <w:tblInd w:w="-714" w:type="dxa"/>
        <w:tblLook w:val="04A0" w:firstRow="1" w:lastRow="0" w:firstColumn="1" w:lastColumn="0" w:noHBand="0" w:noVBand="1"/>
      </w:tblPr>
      <w:tblGrid>
        <w:gridCol w:w="10348"/>
      </w:tblGrid>
      <w:tr w:rsidR="00540040" w14:paraId="0658F81A" w14:textId="77777777" w:rsidTr="00F56F80">
        <w:trPr>
          <w:trHeight w:val="567"/>
        </w:trPr>
        <w:tc>
          <w:tcPr>
            <w:tcW w:w="10348" w:type="dxa"/>
            <w:shd w:val="clear" w:color="auto" w:fill="5B9BD5" w:themeFill="accent5"/>
            <w:vAlign w:val="center"/>
          </w:tcPr>
          <w:p w14:paraId="1EBAFBC2" w14:textId="1E366832" w:rsidR="00540040" w:rsidRPr="00540040" w:rsidRDefault="008875A5" w:rsidP="00093249">
            <w:pPr>
              <w:jc w:val="center"/>
              <w:rPr>
                <w:rFonts w:ascii="Arial" w:hAnsi="Arial" w:cs="Arial"/>
                <w:b/>
                <w:bCs/>
              </w:rPr>
            </w:pPr>
            <w:r w:rsidRPr="00093249">
              <w:rPr>
                <w:rFonts w:ascii="Arial" w:hAnsi="Arial" w:cs="Arial"/>
                <w:b/>
                <w:bCs/>
                <w:sz w:val="24"/>
                <w:szCs w:val="24"/>
              </w:rPr>
              <w:lastRenderedPageBreak/>
              <w:t>Service delivery</w:t>
            </w:r>
          </w:p>
        </w:tc>
      </w:tr>
      <w:tr w:rsidR="00F56F80" w14:paraId="163D75F4" w14:textId="77777777" w:rsidTr="00F56F80">
        <w:trPr>
          <w:trHeight w:val="454"/>
        </w:trPr>
        <w:tc>
          <w:tcPr>
            <w:tcW w:w="10348" w:type="dxa"/>
            <w:shd w:val="clear" w:color="auto" w:fill="DEEAF6" w:themeFill="accent5" w:themeFillTint="33"/>
            <w:vAlign w:val="center"/>
          </w:tcPr>
          <w:p w14:paraId="490D1723" w14:textId="3A908F3E"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How do I opt in if I am interested?</w:t>
            </w:r>
          </w:p>
        </w:tc>
      </w:tr>
      <w:tr w:rsidR="00F56F80" w14:paraId="05B5730A" w14:textId="77777777" w:rsidTr="00F56F80">
        <w:trPr>
          <w:trHeight w:val="1701"/>
        </w:trPr>
        <w:tc>
          <w:tcPr>
            <w:tcW w:w="10348" w:type="dxa"/>
            <w:vAlign w:val="center"/>
          </w:tcPr>
          <w:p w14:paraId="56D420F4" w14:textId="77777777" w:rsidR="00F56F80" w:rsidRDefault="00F56F80" w:rsidP="00F56F80">
            <w:pPr>
              <w:rPr>
                <w:rFonts w:ascii="Arial" w:hAnsi="Arial" w:cs="Arial"/>
                <w:lang w:val="en-US"/>
              </w:rPr>
            </w:pPr>
            <w:r w:rsidRPr="00C65373">
              <w:rPr>
                <w:rFonts w:ascii="Arial" w:hAnsi="Arial" w:cs="Arial"/>
                <w:lang w:val="en-US"/>
              </w:rPr>
              <w:t>This service is optional and open to all in area providers.</w:t>
            </w:r>
            <w:r>
              <w:rPr>
                <w:rFonts w:ascii="Arial" w:hAnsi="Arial" w:cs="Arial"/>
                <w:lang w:val="en-US"/>
              </w:rPr>
              <w:t xml:space="preserve"> Care Homes m</w:t>
            </w:r>
            <w:r w:rsidRPr="00C65373">
              <w:rPr>
                <w:rFonts w:ascii="Arial" w:hAnsi="Arial" w:cs="Arial"/>
                <w:lang w:val="en-US"/>
              </w:rPr>
              <w:t xml:space="preserve">ust be signed up to the current Provider List – this will allow </w:t>
            </w:r>
            <w:r>
              <w:rPr>
                <w:rFonts w:ascii="Arial" w:hAnsi="Arial" w:cs="Arial"/>
                <w:lang w:val="en-US"/>
              </w:rPr>
              <w:t>the Local Authority</w:t>
            </w:r>
            <w:r w:rsidRPr="00C65373">
              <w:rPr>
                <w:rFonts w:ascii="Arial" w:hAnsi="Arial" w:cs="Arial"/>
                <w:lang w:val="en-US"/>
              </w:rPr>
              <w:t xml:space="preserve"> to ‘passport’ </w:t>
            </w:r>
            <w:r>
              <w:rPr>
                <w:rFonts w:ascii="Arial" w:hAnsi="Arial" w:cs="Arial"/>
                <w:lang w:val="en-US"/>
              </w:rPr>
              <w:t>the Care Home</w:t>
            </w:r>
            <w:r w:rsidRPr="00C65373">
              <w:rPr>
                <w:rFonts w:ascii="Arial" w:hAnsi="Arial" w:cs="Arial"/>
                <w:lang w:val="en-US"/>
              </w:rPr>
              <w:t xml:space="preserve"> through further checks as due diligence has already been carried out.</w:t>
            </w:r>
            <w:r>
              <w:rPr>
                <w:rFonts w:ascii="Arial" w:hAnsi="Arial" w:cs="Arial"/>
                <w:lang w:val="en-US"/>
              </w:rPr>
              <w:t xml:space="preserve"> Care Homes must</w:t>
            </w:r>
            <w:r w:rsidRPr="00C65373">
              <w:rPr>
                <w:rFonts w:ascii="Arial" w:hAnsi="Arial" w:cs="Arial"/>
                <w:lang w:val="en-US"/>
              </w:rPr>
              <w:t xml:space="preserve"> agree to delivering the requirements in the specification, including the rate.</w:t>
            </w:r>
          </w:p>
          <w:p w14:paraId="23010BE8" w14:textId="77777777" w:rsidR="00F56F80" w:rsidRDefault="00F56F80" w:rsidP="00F56F80">
            <w:pPr>
              <w:rPr>
                <w:rFonts w:ascii="Arial" w:hAnsi="Arial" w:cs="Arial"/>
                <w:lang w:val="en-US"/>
              </w:rPr>
            </w:pPr>
          </w:p>
          <w:p w14:paraId="13C4F346" w14:textId="7A327FE5" w:rsidR="00F56F80" w:rsidRPr="00540040" w:rsidRDefault="00F56F80" w:rsidP="00F56F80">
            <w:pPr>
              <w:rPr>
                <w:rFonts w:ascii="Arial" w:hAnsi="Arial" w:cs="Arial"/>
              </w:rPr>
            </w:pPr>
            <w:r w:rsidRPr="00C65373">
              <w:rPr>
                <w:rFonts w:ascii="Arial" w:hAnsi="Arial" w:cs="Arial"/>
                <w:lang w:val="en-US"/>
              </w:rPr>
              <w:t xml:space="preserve">We can then issue a contract variation without the need to sign up to (or access) </w:t>
            </w:r>
            <w:proofErr w:type="spellStart"/>
            <w:r w:rsidRPr="00C65373">
              <w:rPr>
                <w:rFonts w:ascii="Arial" w:hAnsi="Arial" w:cs="Arial"/>
                <w:lang w:val="en-US"/>
              </w:rPr>
              <w:t>YORTender</w:t>
            </w:r>
            <w:proofErr w:type="spellEnd"/>
          </w:p>
        </w:tc>
      </w:tr>
      <w:tr w:rsidR="00F56F80" w14:paraId="5A09F5F2" w14:textId="77777777" w:rsidTr="00F56F80">
        <w:trPr>
          <w:trHeight w:val="907"/>
        </w:trPr>
        <w:tc>
          <w:tcPr>
            <w:tcW w:w="10348" w:type="dxa"/>
            <w:shd w:val="clear" w:color="auto" w:fill="DEEAF6" w:themeFill="accent5" w:themeFillTint="33"/>
            <w:vAlign w:val="center"/>
          </w:tcPr>
          <w:p w14:paraId="7A9C5230" w14:textId="728EE2E4"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Considering the operational guidelines set out for the DTA service, such as capability to discharge patients within 24 hours Monday to Friday. This might not always be realistic, I think 36hrs would be much more of a partnership approach.</w:t>
            </w:r>
          </w:p>
        </w:tc>
      </w:tr>
      <w:tr w:rsidR="00F56F80" w14:paraId="144596C6" w14:textId="77777777" w:rsidTr="00F56F80">
        <w:trPr>
          <w:trHeight w:val="907"/>
        </w:trPr>
        <w:tc>
          <w:tcPr>
            <w:tcW w:w="10348" w:type="dxa"/>
            <w:vAlign w:val="center"/>
          </w:tcPr>
          <w:p w14:paraId="52C615F7" w14:textId="6EA3325F" w:rsidR="00F56F80" w:rsidRPr="00540040" w:rsidRDefault="00F56F80" w:rsidP="00F56F80">
            <w:pPr>
              <w:jc w:val="both"/>
              <w:rPr>
                <w:rFonts w:ascii="Arial" w:hAnsi="Arial" w:cs="Arial"/>
              </w:rPr>
            </w:pPr>
            <w:r w:rsidRPr="008E627D">
              <w:rPr>
                <w:rFonts w:ascii="Arial" w:hAnsi="Arial" w:cs="Arial"/>
              </w:rPr>
              <w:t>The 24</w:t>
            </w:r>
            <w:r>
              <w:rPr>
                <w:rFonts w:ascii="Arial" w:hAnsi="Arial" w:cs="Arial"/>
              </w:rPr>
              <w:t>-hour</w:t>
            </w:r>
            <w:r w:rsidRPr="008E627D">
              <w:rPr>
                <w:rFonts w:ascii="Arial" w:hAnsi="Arial" w:cs="Arial"/>
              </w:rPr>
              <w:t xml:space="preserve"> element of this service aligns to our aspirational place target of aiming to discharge people from hospital across all discharge pathways within 24hrs of them no longer needing to be in an acute hospital bed.</w:t>
            </w:r>
            <w:r>
              <w:rPr>
                <w:rFonts w:ascii="Arial" w:hAnsi="Arial" w:cs="Arial"/>
              </w:rPr>
              <w:t xml:space="preserve"> </w:t>
            </w:r>
            <w:r w:rsidRPr="008E627D">
              <w:rPr>
                <w:rFonts w:ascii="Arial" w:hAnsi="Arial" w:cs="Arial"/>
              </w:rPr>
              <w:t>It is accepted that this may not always be possible, but this is the intended aim of the service.</w:t>
            </w:r>
          </w:p>
        </w:tc>
      </w:tr>
      <w:tr w:rsidR="00F56F80" w14:paraId="7A3985EB" w14:textId="77777777" w:rsidTr="00F56F80">
        <w:trPr>
          <w:trHeight w:val="680"/>
        </w:trPr>
        <w:tc>
          <w:tcPr>
            <w:tcW w:w="10348" w:type="dxa"/>
            <w:shd w:val="clear" w:color="auto" w:fill="DEEAF6" w:themeFill="accent5" w:themeFillTint="33"/>
            <w:vAlign w:val="center"/>
          </w:tcPr>
          <w:p w14:paraId="247D6933" w14:textId="12F1CCB7"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Will you only be allowing Care Homes with good or outstanding CQC ratings to express an interest and deliver the service?</w:t>
            </w:r>
          </w:p>
        </w:tc>
      </w:tr>
      <w:tr w:rsidR="00F56F80" w14:paraId="3F449C9F" w14:textId="77777777" w:rsidTr="00F56F80">
        <w:trPr>
          <w:trHeight w:val="680"/>
        </w:trPr>
        <w:tc>
          <w:tcPr>
            <w:tcW w:w="10348" w:type="dxa"/>
            <w:shd w:val="clear" w:color="auto" w:fill="FFFFFF" w:themeFill="background1"/>
            <w:vAlign w:val="center"/>
          </w:tcPr>
          <w:p w14:paraId="49BBA8B9" w14:textId="61473D4E" w:rsidR="00F56F80" w:rsidRPr="008E627D" w:rsidRDefault="00F56F80" w:rsidP="00F56F80">
            <w:pPr>
              <w:jc w:val="both"/>
              <w:rPr>
                <w:rFonts w:ascii="Arial" w:hAnsi="Arial" w:cs="Arial"/>
              </w:rPr>
            </w:pPr>
            <w:r>
              <w:rPr>
                <w:rFonts w:ascii="Arial" w:hAnsi="Arial" w:cs="Arial"/>
              </w:rPr>
              <w:t xml:space="preserve">We will be encouraging expressions of interest from Care Homes that are registered to deliver services that are on the Local Authority current provider list. </w:t>
            </w:r>
          </w:p>
        </w:tc>
      </w:tr>
      <w:tr w:rsidR="00F56F80" w14:paraId="1C1E63DD" w14:textId="77777777" w:rsidTr="00F56F80">
        <w:trPr>
          <w:trHeight w:val="454"/>
        </w:trPr>
        <w:tc>
          <w:tcPr>
            <w:tcW w:w="10348" w:type="dxa"/>
            <w:shd w:val="clear" w:color="auto" w:fill="DEEAF6" w:themeFill="accent5" w:themeFillTint="33"/>
            <w:vAlign w:val="center"/>
          </w:tcPr>
          <w:p w14:paraId="1E32C0E2" w14:textId="21D129C5"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 xml:space="preserve">Am I expected to take admissions over the weekend? </w:t>
            </w:r>
          </w:p>
        </w:tc>
      </w:tr>
      <w:tr w:rsidR="00F56F80" w14:paraId="2865CB67" w14:textId="77777777" w:rsidTr="00F56F80">
        <w:trPr>
          <w:trHeight w:val="680"/>
        </w:trPr>
        <w:tc>
          <w:tcPr>
            <w:tcW w:w="10348" w:type="dxa"/>
            <w:vAlign w:val="center"/>
          </w:tcPr>
          <w:p w14:paraId="1FBE0460" w14:textId="2E5F8212" w:rsidR="00F56F80" w:rsidRPr="006236D7" w:rsidRDefault="00F56F80" w:rsidP="00F56F80">
            <w:pPr>
              <w:jc w:val="both"/>
              <w:rPr>
                <w:rFonts w:ascii="Arial" w:hAnsi="Arial" w:cs="Arial"/>
              </w:rPr>
            </w:pPr>
            <w:r w:rsidRPr="006236D7">
              <w:rPr>
                <w:rFonts w:ascii="Arial" w:hAnsi="Arial" w:cs="Arial"/>
              </w:rPr>
              <w:t>There is no expectatio</w:t>
            </w:r>
            <w:r>
              <w:rPr>
                <w:rFonts w:ascii="Arial" w:hAnsi="Arial" w:cs="Arial"/>
              </w:rPr>
              <w:t>n</w:t>
            </w:r>
            <w:r w:rsidRPr="006236D7">
              <w:rPr>
                <w:rFonts w:ascii="Arial" w:hAnsi="Arial" w:cs="Arial"/>
              </w:rPr>
              <w:t xml:space="preserve"> or obligation to take a discharge over the weekend.</w:t>
            </w:r>
          </w:p>
          <w:p w14:paraId="54E9CCE2" w14:textId="401858FC" w:rsidR="00F56F80" w:rsidRDefault="00F56F80" w:rsidP="00F56F80">
            <w:pPr>
              <w:jc w:val="both"/>
              <w:rPr>
                <w:rFonts w:ascii="Arial" w:hAnsi="Arial" w:cs="Arial"/>
              </w:rPr>
            </w:pPr>
            <w:r w:rsidRPr="00C65373">
              <w:rPr>
                <w:rFonts w:ascii="Arial" w:hAnsi="Arial" w:cs="Arial"/>
              </w:rPr>
              <w:t>If your Care Home wanted to agree to a weekend discharge that would be acceptable.</w:t>
            </w:r>
          </w:p>
        </w:tc>
      </w:tr>
      <w:tr w:rsidR="00F56F80" w14:paraId="75B4BA8F" w14:textId="77777777" w:rsidTr="00F56F80">
        <w:trPr>
          <w:trHeight w:val="680"/>
        </w:trPr>
        <w:tc>
          <w:tcPr>
            <w:tcW w:w="10348" w:type="dxa"/>
            <w:shd w:val="clear" w:color="auto" w:fill="DEEAF6" w:themeFill="accent5" w:themeFillTint="33"/>
            <w:vAlign w:val="center"/>
          </w:tcPr>
          <w:p w14:paraId="6438E4F7" w14:textId="2895C3BF"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Surely, we can’t expect Care Homes to accept late in the day discharges on a Friday as it would be impossible to sort out medication and GP cover particularly on a bank holiday weekend.</w:t>
            </w:r>
          </w:p>
        </w:tc>
      </w:tr>
      <w:tr w:rsidR="00F56F80" w14:paraId="2EBC658A" w14:textId="77777777" w:rsidTr="00F56F80">
        <w:trPr>
          <w:trHeight w:val="1134"/>
        </w:trPr>
        <w:tc>
          <w:tcPr>
            <w:tcW w:w="10348" w:type="dxa"/>
            <w:vAlign w:val="center"/>
          </w:tcPr>
          <w:p w14:paraId="2D32E339" w14:textId="71DD21F2" w:rsidR="00F56F80" w:rsidRPr="008E627D" w:rsidRDefault="00F56F80" w:rsidP="00F56F80">
            <w:pPr>
              <w:jc w:val="both"/>
              <w:rPr>
                <w:rFonts w:ascii="Arial" w:hAnsi="Arial" w:cs="Arial"/>
              </w:rPr>
            </w:pPr>
            <w:r w:rsidRPr="008E627D">
              <w:rPr>
                <w:rFonts w:ascii="Arial" w:hAnsi="Arial" w:cs="Arial"/>
              </w:rPr>
              <w:t>This needs to be given further consideration regarding time of discharge and expectations.</w:t>
            </w:r>
          </w:p>
          <w:p w14:paraId="3165F031" w14:textId="6F6A57B9" w:rsidR="00F56F80" w:rsidRDefault="00F56F80" w:rsidP="00F56F80">
            <w:pPr>
              <w:jc w:val="both"/>
              <w:rPr>
                <w:rFonts w:ascii="Arial" w:hAnsi="Arial" w:cs="Arial"/>
              </w:rPr>
            </w:pPr>
            <w:r w:rsidRPr="008E627D">
              <w:rPr>
                <w:rFonts w:ascii="Arial" w:hAnsi="Arial" w:cs="Arial"/>
              </w:rPr>
              <w:t xml:space="preserve">If a person is discharged on a Friday afternoon, they should have all the necessary medication required and could remain registered with their existing GP practice until the next working day when they </w:t>
            </w:r>
            <w:r>
              <w:rPr>
                <w:rFonts w:ascii="Arial" w:hAnsi="Arial" w:cs="Arial"/>
              </w:rPr>
              <w:t>could</w:t>
            </w:r>
            <w:r w:rsidRPr="008E627D">
              <w:rPr>
                <w:rFonts w:ascii="Arial" w:hAnsi="Arial" w:cs="Arial"/>
              </w:rPr>
              <w:t xml:space="preserve"> be registered with the aligned GP practice that supports</w:t>
            </w:r>
            <w:r>
              <w:rPr>
                <w:rFonts w:ascii="Arial" w:hAnsi="Arial" w:cs="Arial"/>
              </w:rPr>
              <w:t xml:space="preserve"> your Care Home</w:t>
            </w:r>
            <w:r w:rsidRPr="008E627D">
              <w:rPr>
                <w:rFonts w:ascii="Arial" w:hAnsi="Arial" w:cs="Arial"/>
              </w:rPr>
              <w:t xml:space="preserve"> as part of the DTA arrangements.</w:t>
            </w:r>
          </w:p>
        </w:tc>
      </w:tr>
      <w:tr w:rsidR="00F56F80" w14:paraId="3305293F" w14:textId="77777777" w:rsidTr="00F56F80">
        <w:trPr>
          <w:trHeight w:val="680"/>
        </w:trPr>
        <w:tc>
          <w:tcPr>
            <w:tcW w:w="10348" w:type="dxa"/>
            <w:shd w:val="clear" w:color="auto" w:fill="DEEAF6" w:themeFill="accent5" w:themeFillTint="33"/>
            <w:vAlign w:val="center"/>
          </w:tcPr>
          <w:p w14:paraId="336489BF" w14:textId="2A9E2293"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Are GP practices involved in this work as we have had challenges with our GP practice refusing to do temporary registrations as they can’t see all the patients records?</w:t>
            </w:r>
          </w:p>
        </w:tc>
      </w:tr>
      <w:tr w:rsidR="00F56F80" w14:paraId="543B09F5" w14:textId="77777777" w:rsidTr="00F56F80">
        <w:trPr>
          <w:trHeight w:val="1020"/>
        </w:trPr>
        <w:tc>
          <w:tcPr>
            <w:tcW w:w="10348" w:type="dxa"/>
            <w:vAlign w:val="center"/>
          </w:tcPr>
          <w:p w14:paraId="36256907" w14:textId="76DCAEAE" w:rsidR="00F56F80" w:rsidRPr="008E627D" w:rsidRDefault="00F56F80" w:rsidP="00F56F80">
            <w:pPr>
              <w:jc w:val="both"/>
              <w:rPr>
                <w:rFonts w:ascii="Arial" w:hAnsi="Arial" w:cs="Arial"/>
              </w:rPr>
            </w:pPr>
            <w:r>
              <w:rPr>
                <w:rFonts w:ascii="Arial" w:hAnsi="Arial" w:cs="Arial"/>
              </w:rPr>
              <w:t xml:space="preserve">Yes, an initial meeting has been held with GP nominated representatives to discuss the service requirements. A further meeting will be planned when we know which Care Homes have signed up to deliver the service. We can then agree a standardised approach around patient registration.  </w:t>
            </w:r>
          </w:p>
        </w:tc>
      </w:tr>
      <w:tr w:rsidR="00F56F80" w14:paraId="21F12D85" w14:textId="77777777" w:rsidTr="00F56F80">
        <w:trPr>
          <w:trHeight w:val="680"/>
        </w:trPr>
        <w:tc>
          <w:tcPr>
            <w:tcW w:w="10348" w:type="dxa"/>
            <w:shd w:val="clear" w:color="auto" w:fill="DEEAF6" w:themeFill="accent5" w:themeFillTint="33"/>
            <w:vAlign w:val="center"/>
          </w:tcPr>
          <w:p w14:paraId="1A253F11" w14:textId="4F2903DF"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What happens if someone is very distressed/goes into crisis and they are not suitable to stay in the Care Home?</w:t>
            </w:r>
          </w:p>
        </w:tc>
      </w:tr>
      <w:tr w:rsidR="00F56F80" w14:paraId="24D3CE44" w14:textId="77777777" w:rsidTr="00F56F80">
        <w:trPr>
          <w:trHeight w:val="1247"/>
        </w:trPr>
        <w:tc>
          <w:tcPr>
            <w:tcW w:w="10348" w:type="dxa"/>
            <w:vAlign w:val="center"/>
          </w:tcPr>
          <w:p w14:paraId="16390725" w14:textId="4BA5B18A" w:rsidR="00F56F80" w:rsidRPr="008E627D" w:rsidRDefault="00F56F80" w:rsidP="00F56F80">
            <w:pPr>
              <w:rPr>
                <w:rFonts w:ascii="Arial" w:hAnsi="Arial" w:cs="Arial"/>
              </w:rPr>
            </w:pPr>
            <w:r>
              <w:rPr>
                <w:rFonts w:ascii="Arial" w:hAnsi="Arial" w:cs="Arial"/>
              </w:rPr>
              <w:t xml:space="preserve">This will need to be escalated to the Social Work and Care Home Liaison Teams who will support by undertaking a further assessment/review of the individual to determine the best course of action and whether the person can remain in the Care Home with additional support/interventions or if they require an alternate short term placement sourcing. </w:t>
            </w:r>
          </w:p>
        </w:tc>
      </w:tr>
      <w:tr w:rsidR="00F56F80" w14:paraId="5CD3403A" w14:textId="77777777" w:rsidTr="00F56F80">
        <w:trPr>
          <w:trHeight w:val="567"/>
        </w:trPr>
        <w:tc>
          <w:tcPr>
            <w:tcW w:w="10348" w:type="dxa"/>
            <w:shd w:val="clear" w:color="auto" w:fill="5B9BD5" w:themeFill="accent5"/>
            <w:vAlign w:val="center"/>
          </w:tcPr>
          <w:p w14:paraId="31712633" w14:textId="77777777" w:rsidR="00F56F80" w:rsidRPr="006030D2" w:rsidRDefault="00F56F80" w:rsidP="00F56F80">
            <w:pPr>
              <w:jc w:val="both"/>
              <w:rPr>
                <w:rFonts w:ascii="Arial" w:hAnsi="Arial" w:cs="Arial"/>
                <w:highlight w:val="yellow"/>
              </w:rPr>
            </w:pPr>
          </w:p>
        </w:tc>
      </w:tr>
    </w:tbl>
    <w:p w14:paraId="1E6F1C52" w14:textId="77777777" w:rsidR="00540040" w:rsidRDefault="00540040" w:rsidP="00C752BD">
      <w:pPr>
        <w:rPr>
          <w:rFonts w:ascii="Arial" w:hAnsi="Arial" w:cs="Arial"/>
        </w:rPr>
      </w:pPr>
    </w:p>
    <w:p w14:paraId="5FB9763B" w14:textId="77777777" w:rsidR="00B3317E" w:rsidRDefault="00B3317E" w:rsidP="00C752BD">
      <w:pPr>
        <w:rPr>
          <w:rFonts w:ascii="Arial" w:hAnsi="Arial" w:cs="Arial"/>
        </w:rPr>
      </w:pPr>
    </w:p>
    <w:tbl>
      <w:tblPr>
        <w:tblStyle w:val="TableGrid"/>
        <w:tblW w:w="10348" w:type="dxa"/>
        <w:tblInd w:w="-714" w:type="dxa"/>
        <w:tblLook w:val="04A0" w:firstRow="1" w:lastRow="0" w:firstColumn="1" w:lastColumn="0" w:noHBand="0" w:noVBand="1"/>
      </w:tblPr>
      <w:tblGrid>
        <w:gridCol w:w="10348"/>
      </w:tblGrid>
      <w:tr w:rsidR="00093249" w14:paraId="3DFD4459" w14:textId="77777777" w:rsidTr="00F56F80">
        <w:trPr>
          <w:trHeight w:val="567"/>
        </w:trPr>
        <w:tc>
          <w:tcPr>
            <w:tcW w:w="10348" w:type="dxa"/>
            <w:shd w:val="clear" w:color="auto" w:fill="70AD47" w:themeFill="accent6"/>
            <w:vAlign w:val="center"/>
          </w:tcPr>
          <w:p w14:paraId="6DED26FA" w14:textId="538633EC" w:rsidR="00093249" w:rsidRPr="00093249" w:rsidRDefault="00093249" w:rsidP="00093249">
            <w:pPr>
              <w:jc w:val="center"/>
              <w:rPr>
                <w:rFonts w:ascii="Arial" w:hAnsi="Arial" w:cs="Arial"/>
                <w:b/>
                <w:bCs/>
              </w:rPr>
            </w:pPr>
            <w:r w:rsidRPr="00093249">
              <w:rPr>
                <w:rFonts w:ascii="Arial" w:hAnsi="Arial" w:cs="Arial"/>
                <w:b/>
                <w:bCs/>
                <w:sz w:val="24"/>
                <w:szCs w:val="24"/>
              </w:rPr>
              <w:lastRenderedPageBreak/>
              <w:t>Funding</w:t>
            </w:r>
          </w:p>
        </w:tc>
      </w:tr>
      <w:tr w:rsidR="00F56F80" w14:paraId="7F7E8E20" w14:textId="77777777" w:rsidTr="00F56F80">
        <w:trPr>
          <w:trHeight w:val="567"/>
        </w:trPr>
        <w:tc>
          <w:tcPr>
            <w:tcW w:w="10348" w:type="dxa"/>
            <w:shd w:val="clear" w:color="auto" w:fill="E2EFD9" w:themeFill="accent6" w:themeFillTint="33"/>
            <w:vAlign w:val="center"/>
          </w:tcPr>
          <w:p w14:paraId="762B8AF3" w14:textId="525D64D6"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Is there any room for negotiation on the price being offered as this feels very low for the work required?</w:t>
            </w:r>
          </w:p>
        </w:tc>
      </w:tr>
      <w:tr w:rsidR="00F56F80" w14:paraId="32355634" w14:textId="77777777" w:rsidTr="00F56F80">
        <w:trPr>
          <w:trHeight w:val="567"/>
        </w:trPr>
        <w:tc>
          <w:tcPr>
            <w:tcW w:w="10348" w:type="dxa"/>
            <w:vAlign w:val="center"/>
          </w:tcPr>
          <w:p w14:paraId="7B6D7BDA" w14:textId="63F2426E" w:rsidR="00F56F80" w:rsidRPr="00540040" w:rsidRDefault="00F56F80" w:rsidP="00F56F80">
            <w:pPr>
              <w:jc w:val="both"/>
              <w:rPr>
                <w:rFonts w:ascii="Arial" w:hAnsi="Arial" w:cs="Arial"/>
              </w:rPr>
            </w:pPr>
            <w:r>
              <w:rPr>
                <w:rFonts w:ascii="Arial" w:hAnsi="Arial" w:cs="Arial"/>
              </w:rPr>
              <w:t xml:space="preserve">Unfortunately, not the rates proposed are the current rates on offer. </w:t>
            </w:r>
          </w:p>
        </w:tc>
      </w:tr>
      <w:tr w:rsidR="00F56F80" w14:paraId="4E58A815" w14:textId="77777777" w:rsidTr="00B3317E">
        <w:trPr>
          <w:trHeight w:val="1247"/>
        </w:trPr>
        <w:tc>
          <w:tcPr>
            <w:tcW w:w="10348" w:type="dxa"/>
            <w:shd w:val="clear" w:color="auto" w:fill="E2EFD9" w:themeFill="accent6" w:themeFillTint="33"/>
            <w:vAlign w:val="center"/>
          </w:tcPr>
          <w:p w14:paraId="79124E74" w14:textId="2423D3F5"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The financial aspects of the service, including the all-inclusive DTA rate and the policy on not allowing top-ups during the DTA placement: the nursing rate and the residential rate are low, ideally, we would be allowed to charge a top up on these to ensure feasibility. Especially on nursing placements given the clinical complexity of admissions were seeing.</w:t>
            </w:r>
          </w:p>
        </w:tc>
      </w:tr>
      <w:tr w:rsidR="00F56F80" w14:paraId="21943F70" w14:textId="77777777" w:rsidTr="00F56F80">
        <w:trPr>
          <w:trHeight w:val="1020"/>
        </w:trPr>
        <w:tc>
          <w:tcPr>
            <w:tcW w:w="10348" w:type="dxa"/>
            <w:vAlign w:val="center"/>
          </w:tcPr>
          <w:p w14:paraId="61C018E0" w14:textId="77777777" w:rsidR="00F56F80" w:rsidRDefault="00F56F80" w:rsidP="00F56F80">
            <w:pPr>
              <w:jc w:val="both"/>
              <w:rPr>
                <w:rFonts w:ascii="Arial" w:hAnsi="Arial" w:cs="Arial"/>
              </w:rPr>
            </w:pPr>
            <w:r w:rsidRPr="008E627D">
              <w:rPr>
                <w:rFonts w:ascii="Arial" w:hAnsi="Arial" w:cs="Arial"/>
              </w:rPr>
              <w:t>The rates have been considered and agreed by system leads within the NHS and CBMDC.</w:t>
            </w:r>
            <w:r>
              <w:rPr>
                <w:rFonts w:ascii="Arial" w:hAnsi="Arial" w:cs="Arial"/>
              </w:rPr>
              <w:t xml:space="preserve"> </w:t>
            </w:r>
            <w:r w:rsidRPr="008E627D">
              <w:rPr>
                <w:rFonts w:ascii="Arial" w:hAnsi="Arial" w:cs="Arial"/>
              </w:rPr>
              <w:t>The</w:t>
            </w:r>
            <w:r>
              <w:rPr>
                <w:rFonts w:ascii="Arial" w:hAnsi="Arial" w:cs="Arial"/>
              </w:rPr>
              <w:t xml:space="preserve"> r</w:t>
            </w:r>
            <w:r w:rsidRPr="008E627D">
              <w:rPr>
                <w:rFonts w:ascii="Arial" w:hAnsi="Arial" w:cs="Arial"/>
              </w:rPr>
              <w:t>ates</w:t>
            </w:r>
            <w:r>
              <w:rPr>
                <w:rFonts w:ascii="Arial" w:hAnsi="Arial" w:cs="Arial"/>
              </w:rPr>
              <w:t xml:space="preserve"> proposed</w:t>
            </w:r>
            <w:r w:rsidRPr="008E627D">
              <w:rPr>
                <w:rFonts w:ascii="Arial" w:hAnsi="Arial" w:cs="Arial"/>
              </w:rPr>
              <w:t xml:space="preserve"> have considered the level of service that will be required to support individuals on Pathway 3.</w:t>
            </w:r>
          </w:p>
          <w:p w14:paraId="3A3515DB" w14:textId="7B83B09D" w:rsidR="00F56F80" w:rsidRPr="00676456" w:rsidRDefault="00F56F80" w:rsidP="00F56F80">
            <w:pPr>
              <w:jc w:val="both"/>
              <w:rPr>
                <w:rFonts w:ascii="Arial" w:hAnsi="Arial" w:cs="Arial"/>
              </w:rPr>
            </w:pPr>
            <w:r>
              <w:rPr>
                <w:rFonts w:ascii="Arial" w:hAnsi="Arial" w:cs="Arial"/>
              </w:rPr>
              <w:t xml:space="preserve">There will be no top ups allowed during the DTA period. </w:t>
            </w:r>
          </w:p>
        </w:tc>
      </w:tr>
      <w:tr w:rsidR="00F56F80" w14:paraId="65C0303F" w14:textId="77777777" w:rsidTr="00F56F80">
        <w:trPr>
          <w:trHeight w:val="567"/>
        </w:trPr>
        <w:tc>
          <w:tcPr>
            <w:tcW w:w="10348" w:type="dxa"/>
            <w:shd w:val="clear" w:color="auto" w:fill="E2EFD9" w:themeFill="accent6" w:themeFillTint="33"/>
            <w:vAlign w:val="center"/>
          </w:tcPr>
          <w:p w14:paraId="446159D6" w14:textId="0557640D"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Will there be a minimum payment period e.g., 7 days?</w:t>
            </w:r>
          </w:p>
        </w:tc>
      </w:tr>
      <w:tr w:rsidR="00F56F80" w14:paraId="6D359A4E" w14:textId="77777777" w:rsidTr="00F56F80">
        <w:trPr>
          <w:trHeight w:val="567"/>
        </w:trPr>
        <w:tc>
          <w:tcPr>
            <w:tcW w:w="10348" w:type="dxa"/>
            <w:vAlign w:val="center"/>
          </w:tcPr>
          <w:p w14:paraId="59AA16B2" w14:textId="0C6BF574" w:rsidR="00F56F80" w:rsidRPr="008E627D" w:rsidRDefault="00F56F80" w:rsidP="00F56F80">
            <w:pPr>
              <w:rPr>
                <w:rFonts w:ascii="Arial" w:hAnsi="Arial" w:cs="Arial"/>
              </w:rPr>
            </w:pPr>
            <w:r>
              <w:rPr>
                <w:rFonts w:ascii="Arial" w:hAnsi="Arial" w:cs="Arial"/>
              </w:rPr>
              <w:t>No, this is not something that will be offered.</w:t>
            </w:r>
          </w:p>
        </w:tc>
      </w:tr>
      <w:tr w:rsidR="00F56F80" w14:paraId="0A322D23" w14:textId="77777777" w:rsidTr="00F56F80">
        <w:trPr>
          <w:trHeight w:val="567"/>
        </w:trPr>
        <w:tc>
          <w:tcPr>
            <w:tcW w:w="10348" w:type="dxa"/>
            <w:shd w:val="clear" w:color="auto" w:fill="E2EFD9" w:themeFill="accent6" w:themeFillTint="33"/>
            <w:vAlign w:val="center"/>
          </w:tcPr>
          <w:p w14:paraId="5F423683" w14:textId="557FC19E"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If a person is in receipt of Attendance Allowance will this stop during the DTA period?</w:t>
            </w:r>
          </w:p>
        </w:tc>
      </w:tr>
      <w:tr w:rsidR="00F56F80" w14:paraId="3D59837C" w14:textId="77777777" w:rsidTr="00F56F80">
        <w:trPr>
          <w:trHeight w:val="2551"/>
        </w:trPr>
        <w:tc>
          <w:tcPr>
            <w:tcW w:w="10348" w:type="dxa"/>
            <w:vAlign w:val="center"/>
          </w:tcPr>
          <w:p w14:paraId="0288B15D" w14:textId="77777777" w:rsidR="00F56F80" w:rsidRDefault="00F56F80" w:rsidP="00F56F80">
            <w:pPr>
              <w:jc w:val="both"/>
              <w:rPr>
                <w:rFonts w:ascii="Arial" w:hAnsi="Arial" w:cs="Arial"/>
              </w:rPr>
            </w:pPr>
            <w:r w:rsidRPr="006236D7">
              <w:rPr>
                <w:rFonts w:ascii="Arial" w:hAnsi="Arial" w:cs="Arial"/>
              </w:rPr>
              <w:t>Attendance Allowance stops when the person has been away from home for more than a 28-day period, either in hospital or in a care home, so it is likely that if the person has been in hospital for 4 weeks it will have stopped by the time they go in a DTA bed or if in hospital for 2 weeks then it would be payable for 2 weeks of the DTA period (in a Care Home).</w:t>
            </w:r>
          </w:p>
          <w:p w14:paraId="5108FEDF" w14:textId="77777777" w:rsidR="00F56F80" w:rsidRPr="006236D7" w:rsidRDefault="00F56F80" w:rsidP="00F56F80">
            <w:pPr>
              <w:jc w:val="both"/>
              <w:rPr>
                <w:rFonts w:ascii="Arial" w:hAnsi="Arial" w:cs="Arial"/>
              </w:rPr>
            </w:pPr>
          </w:p>
          <w:p w14:paraId="612692CB" w14:textId="77777777" w:rsidR="00F56F80" w:rsidRDefault="00F56F80" w:rsidP="00F56F80">
            <w:pPr>
              <w:jc w:val="both"/>
              <w:rPr>
                <w:rFonts w:ascii="Arial" w:hAnsi="Arial" w:cs="Arial"/>
              </w:rPr>
            </w:pPr>
            <w:r w:rsidRPr="006236D7">
              <w:rPr>
                <w:rFonts w:ascii="Arial" w:hAnsi="Arial" w:cs="Arial"/>
              </w:rPr>
              <w:t>The benefit is not stopped automatically, we are reliant on the person/financial rep contacting the Department of Work and Pensions (DWP) with the dates of admission to hospital/Care Home.</w:t>
            </w:r>
          </w:p>
          <w:p w14:paraId="1FDA682A" w14:textId="77777777" w:rsidR="00F56F80" w:rsidRPr="006236D7" w:rsidRDefault="00F56F80" w:rsidP="00F56F80">
            <w:pPr>
              <w:jc w:val="both"/>
              <w:rPr>
                <w:rFonts w:ascii="Arial" w:hAnsi="Arial" w:cs="Arial"/>
              </w:rPr>
            </w:pPr>
          </w:p>
          <w:p w14:paraId="41FA609F" w14:textId="4CABC46F" w:rsidR="00F56F80" w:rsidRPr="00540040" w:rsidRDefault="00F56F80" w:rsidP="00F56F80">
            <w:pPr>
              <w:jc w:val="both"/>
              <w:rPr>
                <w:rFonts w:ascii="Arial" w:hAnsi="Arial" w:cs="Arial"/>
              </w:rPr>
            </w:pPr>
            <w:r w:rsidRPr="006236D7">
              <w:rPr>
                <w:rFonts w:ascii="Arial" w:hAnsi="Arial" w:cs="Arial"/>
              </w:rPr>
              <w:t>The DWP will then suspend the benefit until they are notified again of a further change in circumstances</w:t>
            </w:r>
            <w:r>
              <w:rPr>
                <w:rFonts w:ascii="Arial" w:hAnsi="Arial" w:cs="Arial"/>
              </w:rPr>
              <w:t>.</w:t>
            </w:r>
          </w:p>
        </w:tc>
      </w:tr>
      <w:tr w:rsidR="00F56F80" w14:paraId="1F73958D" w14:textId="77777777" w:rsidTr="00F56F80">
        <w:trPr>
          <w:trHeight w:val="680"/>
        </w:trPr>
        <w:tc>
          <w:tcPr>
            <w:tcW w:w="10348" w:type="dxa"/>
            <w:shd w:val="clear" w:color="auto" w:fill="E2EFD9" w:themeFill="accent6" w:themeFillTint="33"/>
            <w:vAlign w:val="center"/>
          </w:tcPr>
          <w:p w14:paraId="2E161014" w14:textId="6AA38C7C"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t>If after DTA period the person needs long term care and has sufficient funds to pay for their own care, can they retain Attendance Allowance, PIPs etc or do they lose or need to re-apply?</w:t>
            </w:r>
          </w:p>
        </w:tc>
      </w:tr>
      <w:tr w:rsidR="00F56F80" w14:paraId="2FD84C9C" w14:textId="77777777" w:rsidTr="00F56F80">
        <w:trPr>
          <w:trHeight w:val="4195"/>
        </w:trPr>
        <w:tc>
          <w:tcPr>
            <w:tcW w:w="10348" w:type="dxa"/>
            <w:vAlign w:val="center"/>
          </w:tcPr>
          <w:p w14:paraId="2A162F4E" w14:textId="42557844" w:rsidR="00F56F80" w:rsidRPr="006236D7" w:rsidRDefault="00F56F80" w:rsidP="00F56F80">
            <w:pPr>
              <w:jc w:val="both"/>
              <w:rPr>
                <w:rFonts w:ascii="Arial" w:hAnsi="Arial" w:cs="Arial"/>
              </w:rPr>
            </w:pPr>
            <w:r w:rsidRPr="006236D7">
              <w:rPr>
                <w:rFonts w:ascii="Arial" w:hAnsi="Arial" w:cs="Arial"/>
              </w:rPr>
              <w:t xml:space="preserve">As a self-funder, with money in the bank, the person will keep their Attendance Allowance.  </w:t>
            </w:r>
          </w:p>
          <w:p w14:paraId="3021984E" w14:textId="77777777" w:rsidR="00F56F80" w:rsidRDefault="00F56F80" w:rsidP="00F56F80">
            <w:pPr>
              <w:jc w:val="both"/>
              <w:rPr>
                <w:rFonts w:ascii="Arial" w:hAnsi="Arial" w:cs="Arial"/>
              </w:rPr>
            </w:pPr>
            <w:r w:rsidRPr="006236D7">
              <w:rPr>
                <w:rFonts w:ascii="Arial" w:hAnsi="Arial" w:cs="Arial"/>
              </w:rPr>
              <w:t>If they are already in receipt of it, they do not need to re-apply unless they are on the lower rate and are claiming for the higher rate.</w:t>
            </w:r>
          </w:p>
          <w:p w14:paraId="0F421AA7" w14:textId="77777777" w:rsidR="00F56F80" w:rsidRPr="006236D7" w:rsidRDefault="00F56F80" w:rsidP="00F56F80">
            <w:pPr>
              <w:jc w:val="both"/>
              <w:rPr>
                <w:rFonts w:ascii="Arial" w:hAnsi="Arial" w:cs="Arial"/>
              </w:rPr>
            </w:pPr>
          </w:p>
          <w:p w14:paraId="16F54B51" w14:textId="76053F2C" w:rsidR="00F56F80" w:rsidRDefault="00F56F80" w:rsidP="00F56F80">
            <w:pPr>
              <w:jc w:val="both"/>
              <w:rPr>
                <w:rFonts w:ascii="Arial" w:hAnsi="Arial" w:cs="Arial"/>
              </w:rPr>
            </w:pPr>
            <w:r w:rsidRPr="006236D7">
              <w:rPr>
                <w:rFonts w:ascii="Arial" w:hAnsi="Arial" w:cs="Arial"/>
              </w:rPr>
              <w:t>There seems to have been a change in the way the Department of work and Pension pay Attendance Allowance for those who are self-funders due to owning a property they are not living in. Previously when the Local Authority offer a Deferred Payment, Attendance Allowance would remain in payment as the person is technically self-funding due to the debt building up against the property then being paid back at the point the property sells.</w:t>
            </w:r>
          </w:p>
          <w:p w14:paraId="5B57184C" w14:textId="77777777" w:rsidR="00F56F80" w:rsidRPr="006236D7" w:rsidRDefault="00F56F80" w:rsidP="00F56F80">
            <w:pPr>
              <w:jc w:val="both"/>
              <w:rPr>
                <w:rFonts w:ascii="Arial" w:hAnsi="Arial" w:cs="Arial"/>
              </w:rPr>
            </w:pPr>
          </w:p>
          <w:p w14:paraId="374C0C74" w14:textId="248DA516" w:rsidR="00F56F80" w:rsidRDefault="00F56F80" w:rsidP="00F56F80">
            <w:pPr>
              <w:jc w:val="both"/>
              <w:rPr>
                <w:rFonts w:ascii="Arial" w:hAnsi="Arial" w:cs="Arial"/>
              </w:rPr>
            </w:pPr>
            <w:r w:rsidRPr="006236D7">
              <w:rPr>
                <w:rFonts w:ascii="Arial" w:hAnsi="Arial" w:cs="Arial"/>
              </w:rPr>
              <w:t xml:space="preserve">Currently </w:t>
            </w:r>
            <w:r>
              <w:rPr>
                <w:rFonts w:ascii="Arial" w:hAnsi="Arial" w:cs="Arial"/>
              </w:rPr>
              <w:t>the Local Authority</w:t>
            </w:r>
            <w:r w:rsidRPr="006236D7">
              <w:rPr>
                <w:rFonts w:ascii="Arial" w:hAnsi="Arial" w:cs="Arial"/>
              </w:rPr>
              <w:t xml:space="preserve"> Contracts Team have come across cases where the DWP have advised that they will not pay the Attendance Allowance whilst the Deferred Payment is in place but will pay this back as a lump sum once the property has been sold.</w:t>
            </w:r>
          </w:p>
          <w:p w14:paraId="7B8686BE" w14:textId="77777777" w:rsidR="00F56F80" w:rsidRPr="006236D7" w:rsidRDefault="00F56F80" w:rsidP="00F56F80">
            <w:pPr>
              <w:jc w:val="both"/>
              <w:rPr>
                <w:rFonts w:ascii="Arial" w:hAnsi="Arial" w:cs="Arial"/>
              </w:rPr>
            </w:pPr>
          </w:p>
          <w:p w14:paraId="303D043C" w14:textId="12FA93D4" w:rsidR="00F56F80" w:rsidRPr="00676456" w:rsidRDefault="00F56F80" w:rsidP="00F56F80">
            <w:pPr>
              <w:jc w:val="both"/>
              <w:rPr>
                <w:rFonts w:ascii="Arial" w:hAnsi="Arial" w:cs="Arial"/>
              </w:rPr>
            </w:pPr>
            <w:r w:rsidRPr="006236D7">
              <w:rPr>
                <w:rFonts w:ascii="Arial" w:hAnsi="Arial" w:cs="Arial"/>
              </w:rPr>
              <w:t>This is something we are trying to get a clear answer on as it is a change, we have only been made aware of through families coming back to us after we have provided advice.</w:t>
            </w:r>
          </w:p>
        </w:tc>
      </w:tr>
      <w:tr w:rsidR="00F56F80" w14:paraId="0BBC2769" w14:textId="77777777" w:rsidTr="00F56F80">
        <w:trPr>
          <w:trHeight w:val="1020"/>
        </w:trPr>
        <w:tc>
          <w:tcPr>
            <w:tcW w:w="10348" w:type="dxa"/>
            <w:shd w:val="clear" w:color="auto" w:fill="E2EFD9" w:themeFill="accent6" w:themeFillTint="33"/>
            <w:vAlign w:val="center"/>
          </w:tcPr>
          <w:p w14:paraId="7D88FF6E" w14:textId="2C95CC5D" w:rsidR="00F56F80" w:rsidRPr="003275CA" w:rsidRDefault="00F56F80" w:rsidP="003275CA">
            <w:pPr>
              <w:pStyle w:val="ListParagraph"/>
              <w:numPr>
                <w:ilvl w:val="0"/>
                <w:numId w:val="3"/>
              </w:numPr>
              <w:jc w:val="both"/>
              <w:rPr>
                <w:rFonts w:ascii="Arial" w:hAnsi="Arial" w:cs="Arial"/>
              </w:rPr>
            </w:pPr>
            <w:r w:rsidRPr="003275CA">
              <w:rPr>
                <w:rFonts w:ascii="Arial" w:hAnsi="Arial" w:cs="Arial"/>
              </w:rPr>
              <w:lastRenderedPageBreak/>
              <w:t xml:space="preserve">If a person has been in hospital for a few weeks e.g., after having a stroke and then spends 4 weeks in a Care Home on DTA, could they lose rent allowance and any other benefits which may cease after six or eight weeks? </w:t>
            </w:r>
          </w:p>
        </w:tc>
      </w:tr>
      <w:tr w:rsidR="00F56F80" w14:paraId="09E1879E" w14:textId="77777777" w:rsidTr="00F56F80">
        <w:trPr>
          <w:trHeight w:val="3402"/>
        </w:trPr>
        <w:tc>
          <w:tcPr>
            <w:tcW w:w="10348" w:type="dxa"/>
            <w:vAlign w:val="center"/>
          </w:tcPr>
          <w:p w14:paraId="3BD7B056" w14:textId="66D3BBC0" w:rsidR="00F56F80" w:rsidRDefault="00F56F80" w:rsidP="00F56F80">
            <w:pPr>
              <w:jc w:val="both"/>
              <w:rPr>
                <w:rFonts w:ascii="Arial" w:hAnsi="Arial" w:cs="Arial"/>
              </w:rPr>
            </w:pPr>
            <w:r w:rsidRPr="008E627D">
              <w:rPr>
                <w:rFonts w:ascii="Arial" w:hAnsi="Arial" w:cs="Arial"/>
              </w:rPr>
              <w:t xml:space="preserve">We would advise anyone in receipt of Housing Benefit to ensure that they inform both the </w:t>
            </w:r>
            <w:r>
              <w:rPr>
                <w:rFonts w:ascii="Arial" w:hAnsi="Arial" w:cs="Arial"/>
              </w:rPr>
              <w:t>DWP</w:t>
            </w:r>
            <w:r w:rsidRPr="008E627D">
              <w:rPr>
                <w:rFonts w:ascii="Arial" w:hAnsi="Arial" w:cs="Arial"/>
              </w:rPr>
              <w:t xml:space="preserve"> and Housing Benefit Department of their temporary hospital and temporary Care Home stay to ensure that their means tested benefits remain in place for the temporary period.</w:t>
            </w:r>
          </w:p>
          <w:p w14:paraId="5C94B639" w14:textId="77777777" w:rsidR="00F56F80" w:rsidRPr="008E627D" w:rsidRDefault="00F56F80" w:rsidP="00F56F80">
            <w:pPr>
              <w:jc w:val="both"/>
              <w:rPr>
                <w:rFonts w:ascii="Arial" w:hAnsi="Arial" w:cs="Arial"/>
              </w:rPr>
            </w:pPr>
          </w:p>
          <w:p w14:paraId="501F8086" w14:textId="77777777" w:rsidR="00F56F80" w:rsidRDefault="00F56F80" w:rsidP="00F56F80">
            <w:pPr>
              <w:jc w:val="both"/>
              <w:rPr>
                <w:rFonts w:ascii="Arial" w:hAnsi="Arial" w:cs="Arial"/>
              </w:rPr>
            </w:pPr>
            <w:r w:rsidRPr="008E627D">
              <w:rPr>
                <w:rFonts w:ascii="Arial" w:hAnsi="Arial" w:cs="Arial"/>
              </w:rPr>
              <w:t>At the point they return home, again they should inform DWP/Housing Benefit and the same applies.</w:t>
            </w:r>
          </w:p>
          <w:p w14:paraId="63926A05" w14:textId="77777777" w:rsidR="00F56F80" w:rsidRPr="008E627D" w:rsidRDefault="00F56F80" w:rsidP="00F56F80">
            <w:pPr>
              <w:jc w:val="both"/>
              <w:rPr>
                <w:rFonts w:ascii="Arial" w:hAnsi="Arial" w:cs="Arial"/>
              </w:rPr>
            </w:pPr>
          </w:p>
          <w:p w14:paraId="02FA3DC0" w14:textId="77777777" w:rsidR="00F56F80" w:rsidRDefault="00F56F80" w:rsidP="00F56F80">
            <w:pPr>
              <w:jc w:val="both"/>
              <w:rPr>
                <w:rFonts w:ascii="Arial" w:hAnsi="Arial" w:cs="Arial"/>
              </w:rPr>
            </w:pPr>
            <w:r w:rsidRPr="008E627D">
              <w:rPr>
                <w:rFonts w:ascii="Arial" w:hAnsi="Arial" w:cs="Arial"/>
              </w:rPr>
              <w:t>If the Care Home stay becomes a permanent placement, the person should inform the DWP and then also look to give notice on their tenancy.</w:t>
            </w:r>
          </w:p>
          <w:p w14:paraId="551FB2DC" w14:textId="77777777" w:rsidR="00F56F80" w:rsidRPr="008E627D" w:rsidRDefault="00F56F80" w:rsidP="00F56F80">
            <w:pPr>
              <w:jc w:val="both"/>
              <w:rPr>
                <w:rFonts w:ascii="Arial" w:hAnsi="Arial" w:cs="Arial"/>
              </w:rPr>
            </w:pPr>
          </w:p>
          <w:p w14:paraId="642566B1" w14:textId="650530B7" w:rsidR="00F56F80" w:rsidRPr="006236D7" w:rsidRDefault="00F56F80" w:rsidP="00F56F80">
            <w:pPr>
              <w:jc w:val="both"/>
              <w:rPr>
                <w:rFonts w:ascii="Arial" w:hAnsi="Arial" w:cs="Arial"/>
              </w:rPr>
            </w:pPr>
            <w:r w:rsidRPr="008E627D">
              <w:rPr>
                <w:rFonts w:ascii="Arial" w:hAnsi="Arial" w:cs="Arial"/>
              </w:rPr>
              <w:t xml:space="preserve">By informing </w:t>
            </w:r>
            <w:r>
              <w:rPr>
                <w:rFonts w:ascii="Arial" w:hAnsi="Arial" w:cs="Arial"/>
              </w:rPr>
              <w:t xml:space="preserve">the </w:t>
            </w:r>
            <w:r w:rsidRPr="008E627D">
              <w:rPr>
                <w:rFonts w:ascii="Arial" w:hAnsi="Arial" w:cs="Arial"/>
              </w:rPr>
              <w:t>DWP</w:t>
            </w:r>
            <w:r>
              <w:rPr>
                <w:rFonts w:ascii="Arial" w:hAnsi="Arial" w:cs="Arial"/>
              </w:rPr>
              <w:t xml:space="preserve"> and/or </w:t>
            </w:r>
            <w:r w:rsidRPr="008E627D">
              <w:rPr>
                <w:rFonts w:ascii="Arial" w:hAnsi="Arial" w:cs="Arial"/>
              </w:rPr>
              <w:t>Housing Benefit</w:t>
            </w:r>
            <w:r>
              <w:rPr>
                <w:rFonts w:ascii="Arial" w:hAnsi="Arial" w:cs="Arial"/>
              </w:rPr>
              <w:t xml:space="preserve"> department</w:t>
            </w:r>
            <w:r w:rsidRPr="008E627D">
              <w:rPr>
                <w:rFonts w:ascii="Arial" w:hAnsi="Arial" w:cs="Arial"/>
              </w:rPr>
              <w:t xml:space="preserve"> of the temporary stay</w:t>
            </w:r>
            <w:r>
              <w:rPr>
                <w:rFonts w:ascii="Arial" w:hAnsi="Arial" w:cs="Arial"/>
              </w:rPr>
              <w:t xml:space="preserve"> </w:t>
            </w:r>
            <w:r w:rsidRPr="008E627D">
              <w:rPr>
                <w:rFonts w:ascii="Arial" w:hAnsi="Arial" w:cs="Arial"/>
              </w:rPr>
              <w:t>these departments would usually review the situation every few months (4,8,13,26 weeks)</w:t>
            </w:r>
            <w:r>
              <w:rPr>
                <w:rFonts w:ascii="Arial" w:hAnsi="Arial" w:cs="Arial"/>
              </w:rPr>
              <w:t xml:space="preserve"> </w:t>
            </w:r>
            <w:r w:rsidRPr="008E627D">
              <w:rPr>
                <w:rFonts w:ascii="Arial" w:hAnsi="Arial" w:cs="Arial"/>
              </w:rPr>
              <w:t>up to a period of 52 weeks</w:t>
            </w:r>
            <w:r>
              <w:rPr>
                <w:rFonts w:ascii="Arial" w:hAnsi="Arial" w:cs="Arial"/>
              </w:rPr>
              <w:t>.</w:t>
            </w:r>
            <w:r w:rsidRPr="008E627D">
              <w:rPr>
                <w:rFonts w:ascii="Arial" w:hAnsi="Arial" w:cs="Arial"/>
              </w:rPr>
              <w:t xml:space="preserve"> </w:t>
            </w:r>
            <w:r>
              <w:rPr>
                <w:rFonts w:ascii="Arial" w:hAnsi="Arial" w:cs="Arial"/>
              </w:rPr>
              <w:t>A</w:t>
            </w:r>
            <w:r w:rsidRPr="008E627D">
              <w:rPr>
                <w:rFonts w:ascii="Arial" w:hAnsi="Arial" w:cs="Arial"/>
              </w:rPr>
              <w:t>t which point it is likely that the period may no longer be classed as temporary.</w:t>
            </w:r>
          </w:p>
        </w:tc>
      </w:tr>
      <w:tr w:rsidR="00F56F80" w14:paraId="24433515" w14:textId="77777777" w:rsidTr="00F56F80">
        <w:trPr>
          <w:trHeight w:val="567"/>
        </w:trPr>
        <w:tc>
          <w:tcPr>
            <w:tcW w:w="10348" w:type="dxa"/>
            <w:shd w:val="clear" w:color="auto" w:fill="70AD47" w:themeFill="accent6"/>
            <w:vAlign w:val="center"/>
          </w:tcPr>
          <w:p w14:paraId="4FCA704E" w14:textId="77777777" w:rsidR="00F56F80" w:rsidRPr="008E627D" w:rsidRDefault="00F56F80" w:rsidP="00F56F80">
            <w:pPr>
              <w:jc w:val="both"/>
              <w:rPr>
                <w:rFonts w:ascii="Arial" w:hAnsi="Arial" w:cs="Arial"/>
              </w:rPr>
            </w:pPr>
          </w:p>
        </w:tc>
      </w:tr>
    </w:tbl>
    <w:p w14:paraId="0FED76C7" w14:textId="77777777" w:rsidR="003F0BBC" w:rsidRPr="00C65373" w:rsidRDefault="003F0BBC" w:rsidP="003F0BBC">
      <w:pPr>
        <w:rPr>
          <w:rFonts w:ascii="Arial" w:hAnsi="Arial" w:cs="Arial"/>
        </w:rPr>
      </w:pPr>
    </w:p>
    <w:sectPr w:rsidR="003F0BBC" w:rsidRPr="00C653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7D56" w14:textId="77777777" w:rsidR="00C752BD" w:rsidRDefault="00C752BD" w:rsidP="00C752BD">
      <w:r>
        <w:separator/>
      </w:r>
    </w:p>
  </w:endnote>
  <w:endnote w:type="continuationSeparator" w:id="0">
    <w:p w14:paraId="440000E8" w14:textId="77777777" w:rsidR="00C752BD" w:rsidRDefault="00C752BD" w:rsidP="00C7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661261"/>
      <w:docPartObj>
        <w:docPartGallery w:val="Page Numbers (Bottom of Page)"/>
        <w:docPartUnique/>
      </w:docPartObj>
    </w:sdtPr>
    <w:sdtEndPr/>
    <w:sdtContent>
      <w:p w14:paraId="055E3AB6" w14:textId="12ED09DC" w:rsidR="00C752BD" w:rsidRDefault="00C752BD">
        <w:pPr>
          <w:pStyle w:val="Footer"/>
          <w:jc w:val="right"/>
        </w:pPr>
        <w:r>
          <w:fldChar w:fldCharType="begin"/>
        </w:r>
        <w:r>
          <w:instrText>PAGE   \* MERGEFORMAT</w:instrText>
        </w:r>
        <w:r>
          <w:fldChar w:fldCharType="separate"/>
        </w:r>
        <w:r>
          <w:t>2</w:t>
        </w:r>
        <w:r>
          <w:fldChar w:fldCharType="end"/>
        </w:r>
      </w:p>
    </w:sdtContent>
  </w:sdt>
  <w:p w14:paraId="51D16DC2" w14:textId="77777777" w:rsidR="00C752BD" w:rsidRDefault="00C75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CDC1" w14:textId="77777777" w:rsidR="00C752BD" w:rsidRDefault="00C752BD" w:rsidP="00C752BD">
      <w:r>
        <w:separator/>
      </w:r>
    </w:p>
  </w:footnote>
  <w:footnote w:type="continuationSeparator" w:id="0">
    <w:p w14:paraId="1C658C99" w14:textId="77777777" w:rsidR="00C752BD" w:rsidRDefault="00C752BD" w:rsidP="00C7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4CDE" w14:textId="6906F1E4" w:rsidR="00C752BD" w:rsidRDefault="00F56F80" w:rsidP="00F56F80">
    <w:pPr>
      <w:pStyle w:val="Header"/>
    </w:pPr>
    <w:r>
      <w:rPr>
        <w:noProof/>
      </w:rPr>
      <mc:AlternateContent>
        <mc:Choice Requires="wps">
          <w:drawing>
            <wp:anchor distT="45720" distB="45720" distL="114300" distR="114300" simplePos="0" relativeHeight="251661312" behindDoc="0" locked="0" layoutInCell="1" allowOverlap="1" wp14:anchorId="4A7A9E8E" wp14:editId="238F9E10">
              <wp:simplePos x="0" y="0"/>
              <wp:positionH relativeFrom="column">
                <wp:posOffset>4092557</wp:posOffset>
              </wp:positionH>
              <wp:positionV relativeFrom="paragraph">
                <wp:posOffset>-170642</wp:posOffset>
              </wp:positionV>
              <wp:extent cx="2360930" cy="1404620"/>
              <wp:effectExtent l="0" t="0" r="12700"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D8320EC" w14:textId="57F8AE4F" w:rsidR="00F56F80" w:rsidRDefault="00F56F80">
                          <w:r>
                            <w:rPr>
                              <w:noProof/>
                              <w:color w:val="000000"/>
                              <w:lang w:eastAsia="en-GB"/>
                              <w14:ligatures w14:val="none"/>
                            </w:rPr>
                            <w:drawing>
                              <wp:inline distT="0" distB="0" distL="0" distR="0" wp14:anchorId="611BBDA3" wp14:editId="6B13FFFD">
                                <wp:extent cx="2100580" cy="381635"/>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0580" cy="38163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7A9E8E" id="_x0000_t202" coordsize="21600,21600" o:spt="202" path="m,l,21600r21600,l21600,xe">
              <v:stroke joinstyle="miter"/>
              <v:path gradientshapeok="t" o:connecttype="rect"/>
            </v:shapetype>
            <v:shape id="Text Box 2" o:spid="_x0000_s1026" type="#_x0000_t202" style="position:absolute;margin-left:322.25pt;margin-top:-13.4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" strokecolor="white [3212]">
              <v:textbox style="mso-fit-shape-to-text:t">
                <w:txbxContent>
                  <w:p w14:paraId="0D8320EC" w14:textId="57F8AE4F" w:rsidR="00F56F80" w:rsidRDefault="00F56F80">
                    <w:r>
                      <w:rPr>
                        <w:noProof/>
                        <w:color w:val="000000"/>
                        <w:lang w:eastAsia="en-GB"/>
                        <w14:ligatures w14:val="none"/>
                      </w:rPr>
                      <w:drawing>
                        <wp:inline distT="0" distB="0" distL="0" distR="0" wp14:anchorId="611BBDA3" wp14:editId="6B13FFFD">
                          <wp:extent cx="2100580" cy="381635"/>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0580" cy="38163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900705A" wp14:editId="518165A8">
              <wp:simplePos x="0" y="0"/>
              <wp:positionH relativeFrom="margin">
                <wp:posOffset>-468638</wp:posOffset>
              </wp:positionH>
              <wp:positionV relativeFrom="paragraph">
                <wp:posOffset>-309161</wp:posOffset>
              </wp:positionV>
              <wp:extent cx="2360930" cy="1404620"/>
              <wp:effectExtent l="0" t="0" r="127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60111AF" w14:textId="04931EB6" w:rsidR="00F56F80" w:rsidRDefault="00F56F80">
                          <w:r>
                            <w:rPr>
                              <w:noProof/>
                            </w:rPr>
                            <w:drawing>
                              <wp:inline distT="0" distB="0" distL="0" distR="0" wp14:anchorId="0E8BE396" wp14:editId="27A6B6CD">
                                <wp:extent cx="1733550" cy="577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
                                        <a:stretch>
                                          <a:fillRect/>
                                        </a:stretch>
                                      </pic:blipFill>
                                      <pic:spPr>
                                        <a:xfrm>
                                          <a:off x="0" y="0"/>
                                          <a:ext cx="1733550" cy="5778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00705A" id="_x0000_s1027" type="#_x0000_t202" style="position:absolute;margin-left:-36.9pt;margin-top:-24.3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" strokecolor="white [3212]">
              <v:textbox style="mso-fit-shape-to-text:t">
                <w:txbxContent>
                  <w:p w14:paraId="060111AF" w14:textId="04931EB6" w:rsidR="00F56F80" w:rsidRDefault="00F56F80">
                    <w:r>
                      <w:rPr>
                        <w:noProof/>
                      </w:rPr>
                      <w:drawing>
                        <wp:inline distT="0" distB="0" distL="0" distR="0" wp14:anchorId="0E8BE396" wp14:editId="27A6B6CD">
                          <wp:extent cx="1733550" cy="577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
                                  <a:stretch>
                                    <a:fillRect/>
                                  </a:stretch>
                                </pic:blipFill>
                                <pic:spPr>
                                  <a:xfrm>
                                    <a:off x="0" y="0"/>
                                    <a:ext cx="1733550" cy="577850"/>
                                  </a:xfrm>
                                  <a:prstGeom prst="rect">
                                    <a:avLst/>
                                  </a:prstGeom>
                                </pic:spPr>
                              </pic:pic>
                            </a:graphicData>
                          </a:graphic>
                        </wp:inline>
                      </w:drawing>
                    </w:r>
                  </w:p>
                </w:txbxContent>
              </v:textbox>
              <w10:wrap type="square" anchorx="margin"/>
            </v:shape>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066E3"/>
    <w:multiLevelType w:val="hybridMultilevel"/>
    <w:tmpl w:val="C8306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B0694E"/>
    <w:multiLevelType w:val="hybridMultilevel"/>
    <w:tmpl w:val="BA7255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E5617E"/>
    <w:multiLevelType w:val="hybridMultilevel"/>
    <w:tmpl w:val="E4147E1E"/>
    <w:lvl w:ilvl="0" w:tplc="AFC48A4C">
      <w:start w:val="1"/>
      <w:numFmt w:val="bullet"/>
      <w:lvlText w:val="•"/>
      <w:lvlJc w:val="left"/>
      <w:pPr>
        <w:tabs>
          <w:tab w:val="num" w:pos="720"/>
        </w:tabs>
        <w:ind w:left="720" w:hanging="360"/>
      </w:pPr>
      <w:rPr>
        <w:rFonts w:ascii="Arial" w:hAnsi="Arial" w:hint="default"/>
      </w:rPr>
    </w:lvl>
    <w:lvl w:ilvl="1" w:tplc="0B32C98C">
      <w:numFmt w:val="bullet"/>
      <w:lvlText w:val="•"/>
      <w:lvlJc w:val="left"/>
      <w:pPr>
        <w:tabs>
          <w:tab w:val="num" w:pos="1440"/>
        </w:tabs>
        <w:ind w:left="1440" w:hanging="360"/>
      </w:pPr>
      <w:rPr>
        <w:rFonts w:ascii="Arial" w:hAnsi="Arial" w:hint="default"/>
      </w:rPr>
    </w:lvl>
    <w:lvl w:ilvl="2" w:tplc="AF92E0E0" w:tentative="1">
      <w:start w:val="1"/>
      <w:numFmt w:val="bullet"/>
      <w:lvlText w:val="•"/>
      <w:lvlJc w:val="left"/>
      <w:pPr>
        <w:tabs>
          <w:tab w:val="num" w:pos="2160"/>
        </w:tabs>
        <w:ind w:left="2160" w:hanging="360"/>
      </w:pPr>
      <w:rPr>
        <w:rFonts w:ascii="Arial" w:hAnsi="Arial" w:hint="default"/>
      </w:rPr>
    </w:lvl>
    <w:lvl w:ilvl="3" w:tplc="772405F0" w:tentative="1">
      <w:start w:val="1"/>
      <w:numFmt w:val="bullet"/>
      <w:lvlText w:val="•"/>
      <w:lvlJc w:val="left"/>
      <w:pPr>
        <w:tabs>
          <w:tab w:val="num" w:pos="2880"/>
        </w:tabs>
        <w:ind w:left="2880" w:hanging="360"/>
      </w:pPr>
      <w:rPr>
        <w:rFonts w:ascii="Arial" w:hAnsi="Arial" w:hint="default"/>
      </w:rPr>
    </w:lvl>
    <w:lvl w:ilvl="4" w:tplc="3CC6F6BC" w:tentative="1">
      <w:start w:val="1"/>
      <w:numFmt w:val="bullet"/>
      <w:lvlText w:val="•"/>
      <w:lvlJc w:val="left"/>
      <w:pPr>
        <w:tabs>
          <w:tab w:val="num" w:pos="3600"/>
        </w:tabs>
        <w:ind w:left="3600" w:hanging="360"/>
      </w:pPr>
      <w:rPr>
        <w:rFonts w:ascii="Arial" w:hAnsi="Arial" w:hint="default"/>
      </w:rPr>
    </w:lvl>
    <w:lvl w:ilvl="5" w:tplc="4DB0D4FE" w:tentative="1">
      <w:start w:val="1"/>
      <w:numFmt w:val="bullet"/>
      <w:lvlText w:val="•"/>
      <w:lvlJc w:val="left"/>
      <w:pPr>
        <w:tabs>
          <w:tab w:val="num" w:pos="4320"/>
        </w:tabs>
        <w:ind w:left="4320" w:hanging="360"/>
      </w:pPr>
      <w:rPr>
        <w:rFonts w:ascii="Arial" w:hAnsi="Arial" w:hint="default"/>
      </w:rPr>
    </w:lvl>
    <w:lvl w:ilvl="6" w:tplc="A3AEE368" w:tentative="1">
      <w:start w:val="1"/>
      <w:numFmt w:val="bullet"/>
      <w:lvlText w:val="•"/>
      <w:lvlJc w:val="left"/>
      <w:pPr>
        <w:tabs>
          <w:tab w:val="num" w:pos="5040"/>
        </w:tabs>
        <w:ind w:left="5040" w:hanging="360"/>
      </w:pPr>
      <w:rPr>
        <w:rFonts w:ascii="Arial" w:hAnsi="Arial" w:hint="default"/>
      </w:rPr>
    </w:lvl>
    <w:lvl w:ilvl="7" w:tplc="AEC0B152" w:tentative="1">
      <w:start w:val="1"/>
      <w:numFmt w:val="bullet"/>
      <w:lvlText w:val="•"/>
      <w:lvlJc w:val="left"/>
      <w:pPr>
        <w:tabs>
          <w:tab w:val="num" w:pos="5760"/>
        </w:tabs>
        <w:ind w:left="5760" w:hanging="360"/>
      </w:pPr>
      <w:rPr>
        <w:rFonts w:ascii="Arial" w:hAnsi="Arial" w:hint="default"/>
      </w:rPr>
    </w:lvl>
    <w:lvl w:ilvl="8" w:tplc="4412F06C" w:tentative="1">
      <w:start w:val="1"/>
      <w:numFmt w:val="bullet"/>
      <w:lvlText w:val="•"/>
      <w:lvlJc w:val="left"/>
      <w:pPr>
        <w:tabs>
          <w:tab w:val="num" w:pos="6480"/>
        </w:tabs>
        <w:ind w:left="6480" w:hanging="360"/>
      </w:pPr>
      <w:rPr>
        <w:rFonts w:ascii="Arial" w:hAnsi="Arial" w:hint="default"/>
      </w:rPr>
    </w:lvl>
  </w:abstractNum>
  <w:num w:numId="1" w16cid:durableId="1364744347">
    <w:abstractNumId w:val="2"/>
  </w:num>
  <w:num w:numId="2" w16cid:durableId="804203015">
    <w:abstractNumId w:val="0"/>
  </w:num>
  <w:num w:numId="3" w16cid:durableId="5166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70"/>
    <w:rsid w:val="00093249"/>
    <w:rsid w:val="001A6670"/>
    <w:rsid w:val="003275CA"/>
    <w:rsid w:val="003F0BBC"/>
    <w:rsid w:val="004A069E"/>
    <w:rsid w:val="004F0FF8"/>
    <w:rsid w:val="00540040"/>
    <w:rsid w:val="006030D2"/>
    <w:rsid w:val="006236D7"/>
    <w:rsid w:val="00676456"/>
    <w:rsid w:val="006841F8"/>
    <w:rsid w:val="007005A5"/>
    <w:rsid w:val="008875A5"/>
    <w:rsid w:val="008E627D"/>
    <w:rsid w:val="00AA61E3"/>
    <w:rsid w:val="00B3317E"/>
    <w:rsid w:val="00B918BB"/>
    <w:rsid w:val="00BA4925"/>
    <w:rsid w:val="00C65373"/>
    <w:rsid w:val="00C752BD"/>
    <w:rsid w:val="00D4486B"/>
    <w:rsid w:val="00E645DE"/>
    <w:rsid w:val="00F17EE3"/>
    <w:rsid w:val="00F510C3"/>
    <w:rsid w:val="00F56F80"/>
    <w:rsid w:val="00FB3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8005E"/>
  <w15:chartTrackingRefBased/>
  <w15:docId w15:val="{36CBD727-CD62-442A-B412-4A84FB5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70"/>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C752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2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373"/>
    <w:pPr>
      <w:ind w:left="720"/>
      <w:contextualSpacing/>
    </w:pPr>
  </w:style>
  <w:style w:type="paragraph" w:styleId="Header">
    <w:name w:val="header"/>
    <w:basedOn w:val="Normal"/>
    <w:link w:val="HeaderChar"/>
    <w:uiPriority w:val="99"/>
    <w:unhideWhenUsed/>
    <w:rsid w:val="00C752BD"/>
    <w:pPr>
      <w:tabs>
        <w:tab w:val="center" w:pos="4513"/>
        <w:tab w:val="right" w:pos="9026"/>
      </w:tabs>
    </w:pPr>
  </w:style>
  <w:style w:type="character" w:customStyle="1" w:styleId="HeaderChar">
    <w:name w:val="Header Char"/>
    <w:basedOn w:val="DefaultParagraphFont"/>
    <w:link w:val="Header"/>
    <w:uiPriority w:val="99"/>
    <w:rsid w:val="00C752BD"/>
    <w:rPr>
      <w:rFonts w:ascii="Calibri" w:hAnsi="Calibri" w:cs="Calibri"/>
      <w:kern w:val="0"/>
    </w:rPr>
  </w:style>
  <w:style w:type="paragraph" w:styleId="Footer">
    <w:name w:val="footer"/>
    <w:basedOn w:val="Normal"/>
    <w:link w:val="FooterChar"/>
    <w:uiPriority w:val="99"/>
    <w:unhideWhenUsed/>
    <w:rsid w:val="00C752BD"/>
    <w:pPr>
      <w:tabs>
        <w:tab w:val="center" w:pos="4513"/>
        <w:tab w:val="right" w:pos="9026"/>
      </w:tabs>
    </w:pPr>
  </w:style>
  <w:style w:type="character" w:customStyle="1" w:styleId="FooterChar">
    <w:name w:val="Footer Char"/>
    <w:basedOn w:val="DefaultParagraphFont"/>
    <w:link w:val="Footer"/>
    <w:uiPriority w:val="99"/>
    <w:rsid w:val="00C752BD"/>
    <w:rPr>
      <w:rFonts w:ascii="Calibri" w:hAnsi="Calibri" w:cs="Calibri"/>
      <w:kern w:val="0"/>
    </w:rPr>
  </w:style>
  <w:style w:type="character" w:customStyle="1" w:styleId="Heading1Char">
    <w:name w:val="Heading 1 Char"/>
    <w:basedOn w:val="DefaultParagraphFont"/>
    <w:link w:val="Heading1"/>
    <w:uiPriority w:val="9"/>
    <w:rsid w:val="00C752BD"/>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C752BD"/>
    <w:rPr>
      <w:rFonts w:asciiTheme="majorHAnsi" w:eastAsiaTheme="majorEastAsia" w:hAnsiTheme="majorHAnsi" w:cstheme="majorBidi"/>
      <w:color w:val="2F5496" w:themeColor="accent1" w:themeShade="BF"/>
      <w:kern w:val="0"/>
      <w:sz w:val="26"/>
      <w:szCs w:val="26"/>
    </w:rPr>
  </w:style>
  <w:style w:type="paragraph" w:styleId="NoSpacing">
    <w:name w:val="No Spacing"/>
    <w:uiPriority w:val="1"/>
    <w:qFormat/>
    <w:rsid w:val="00C752BD"/>
    <w:pPr>
      <w:spacing w:after="0" w:line="240" w:lineRule="auto"/>
    </w:pPr>
    <w:rPr>
      <w:rFonts w:ascii="Calibri" w:hAnsi="Calibri" w:cs="Calibri"/>
      <w:kern w:val="0"/>
    </w:rPr>
  </w:style>
  <w:style w:type="paragraph" w:styleId="Title">
    <w:name w:val="Title"/>
    <w:basedOn w:val="Normal"/>
    <w:next w:val="Normal"/>
    <w:link w:val="TitleChar"/>
    <w:uiPriority w:val="10"/>
    <w:qFormat/>
    <w:rsid w:val="00C752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2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9868">
      <w:bodyDiv w:val="1"/>
      <w:marLeft w:val="0"/>
      <w:marRight w:val="0"/>
      <w:marTop w:val="0"/>
      <w:marBottom w:val="0"/>
      <w:divBdr>
        <w:top w:val="none" w:sz="0" w:space="0" w:color="auto"/>
        <w:left w:val="none" w:sz="0" w:space="0" w:color="auto"/>
        <w:bottom w:val="none" w:sz="0" w:space="0" w:color="auto"/>
        <w:right w:val="none" w:sz="0" w:space="0" w:color="auto"/>
      </w:divBdr>
    </w:div>
    <w:div w:id="178007536">
      <w:bodyDiv w:val="1"/>
      <w:marLeft w:val="0"/>
      <w:marRight w:val="0"/>
      <w:marTop w:val="0"/>
      <w:marBottom w:val="0"/>
      <w:divBdr>
        <w:top w:val="none" w:sz="0" w:space="0" w:color="auto"/>
        <w:left w:val="none" w:sz="0" w:space="0" w:color="auto"/>
        <w:bottom w:val="none" w:sz="0" w:space="0" w:color="auto"/>
        <w:right w:val="none" w:sz="0" w:space="0" w:color="auto"/>
      </w:divBdr>
    </w:div>
    <w:div w:id="178859659">
      <w:bodyDiv w:val="1"/>
      <w:marLeft w:val="0"/>
      <w:marRight w:val="0"/>
      <w:marTop w:val="0"/>
      <w:marBottom w:val="0"/>
      <w:divBdr>
        <w:top w:val="none" w:sz="0" w:space="0" w:color="auto"/>
        <w:left w:val="none" w:sz="0" w:space="0" w:color="auto"/>
        <w:bottom w:val="none" w:sz="0" w:space="0" w:color="auto"/>
        <w:right w:val="none" w:sz="0" w:space="0" w:color="auto"/>
      </w:divBdr>
    </w:div>
    <w:div w:id="288829180">
      <w:bodyDiv w:val="1"/>
      <w:marLeft w:val="0"/>
      <w:marRight w:val="0"/>
      <w:marTop w:val="0"/>
      <w:marBottom w:val="0"/>
      <w:divBdr>
        <w:top w:val="none" w:sz="0" w:space="0" w:color="auto"/>
        <w:left w:val="none" w:sz="0" w:space="0" w:color="auto"/>
        <w:bottom w:val="none" w:sz="0" w:space="0" w:color="auto"/>
        <w:right w:val="none" w:sz="0" w:space="0" w:color="auto"/>
      </w:divBdr>
    </w:div>
    <w:div w:id="406419983">
      <w:bodyDiv w:val="1"/>
      <w:marLeft w:val="0"/>
      <w:marRight w:val="0"/>
      <w:marTop w:val="0"/>
      <w:marBottom w:val="0"/>
      <w:divBdr>
        <w:top w:val="none" w:sz="0" w:space="0" w:color="auto"/>
        <w:left w:val="none" w:sz="0" w:space="0" w:color="auto"/>
        <w:bottom w:val="none" w:sz="0" w:space="0" w:color="auto"/>
        <w:right w:val="none" w:sz="0" w:space="0" w:color="auto"/>
      </w:divBdr>
    </w:div>
    <w:div w:id="480342242">
      <w:bodyDiv w:val="1"/>
      <w:marLeft w:val="0"/>
      <w:marRight w:val="0"/>
      <w:marTop w:val="0"/>
      <w:marBottom w:val="0"/>
      <w:divBdr>
        <w:top w:val="none" w:sz="0" w:space="0" w:color="auto"/>
        <w:left w:val="none" w:sz="0" w:space="0" w:color="auto"/>
        <w:bottom w:val="none" w:sz="0" w:space="0" w:color="auto"/>
        <w:right w:val="none" w:sz="0" w:space="0" w:color="auto"/>
      </w:divBdr>
    </w:div>
    <w:div w:id="607549308">
      <w:bodyDiv w:val="1"/>
      <w:marLeft w:val="0"/>
      <w:marRight w:val="0"/>
      <w:marTop w:val="0"/>
      <w:marBottom w:val="0"/>
      <w:divBdr>
        <w:top w:val="none" w:sz="0" w:space="0" w:color="auto"/>
        <w:left w:val="none" w:sz="0" w:space="0" w:color="auto"/>
        <w:bottom w:val="none" w:sz="0" w:space="0" w:color="auto"/>
        <w:right w:val="none" w:sz="0" w:space="0" w:color="auto"/>
      </w:divBdr>
    </w:div>
    <w:div w:id="618101421">
      <w:bodyDiv w:val="1"/>
      <w:marLeft w:val="0"/>
      <w:marRight w:val="0"/>
      <w:marTop w:val="0"/>
      <w:marBottom w:val="0"/>
      <w:divBdr>
        <w:top w:val="none" w:sz="0" w:space="0" w:color="auto"/>
        <w:left w:val="none" w:sz="0" w:space="0" w:color="auto"/>
        <w:bottom w:val="none" w:sz="0" w:space="0" w:color="auto"/>
        <w:right w:val="none" w:sz="0" w:space="0" w:color="auto"/>
      </w:divBdr>
    </w:div>
    <w:div w:id="733087886">
      <w:bodyDiv w:val="1"/>
      <w:marLeft w:val="0"/>
      <w:marRight w:val="0"/>
      <w:marTop w:val="0"/>
      <w:marBottom w:val="0"/>
      <w:divBdr>
        <w:top w:val="none" w:sz="0" w:space="0" w:color="auto"/>
        <w:left w:val="none" w:sz="0" w:space="0" w:color="auto"/>
        <w:bottom w:val="none" w:sz="0" w:space="0" w:color="auto"/>
        <w:right w:val="none" w:sz="0" w:space="0" w:color="auto"/>
      </w:divBdr>
    </w:div>
    <w:div w:id="808716403">
      <w:bodyDiv w:val="1"/>
      <w:marLeft w:val="0"/>
      <w:marRight w:val="0"/>
      <w:marTop w:val="0"/>
      <w:marBottom w:val="0"/>
      <w:divBdr>
        <w:top w:val="none" w:sz="0" w:space="0" w:color="auto"/>
        <w:left w:val="none" w:sz="0" w:space="0" w:color="auto"/>
        <w:bottom w:val="none" w:sz="0" w:space="0" w:color="auto"/>
        <w:right w:val="none" w:sz="0" w:space="0" w:color="auto"/>
      </w:divBdr>
    </w:div>
    <w:div w:id="836531165">
      <w:bodyDiv w:val="1"/>
      <w:marLeft w:val="0"/>
      <w:marRight w:val="0"/>
      <w:marTop w:val="0"/>
      <w:marBottom w:val="0"/>
      <w:divBdr>
        <w:top w:val="none" w:sz="0" w:space="0" w:color="auto"/>
        <w:left w:val="none" w:sz="0" w:space="0" w:color="auto"/>
        <w:bottom w:val="none" w:sz="0" w:space="0" w:color="auto"/>
        <w:right w:val="none" w:sz="0" w:space="0" w:color="auto"/>
      </w:divBdr>
    </w:div>
    <w:div w:id="925186496">
      <w:bodyDiv w:val="1"/>
      <w:marLeft w:val="0"/>
      <w:marRight w:val="0"/>
      <w:marTop w:val="0"/>
      <w:marBottom w:val="0"/>
      <w:divBdr>
        <w:top w:val="none" w:sz="0" w:space="0" w:color="auto"/>
        <w:left w:val="none" w:sz="0" w:space="0" w:color="auto"/>
        <w:bottom w:val="none" w:sz="0" w:space="0" w:color="auto"/>
        <w:right w:val="none" w:sz="0" w:space="0" w:color="auto"/>
      </w:divBdr>
    </w:div>
    <w:div w:id="1041520463">
      <w:bodyDiv w:val="1"/>
      <w:marLeft w:val="0"/>
      <w:marRight w:val="0"/>
      <w:marTop w:val="0"/>
      <w:marBottom w:val="0"/>
      <w:divBdr>
        <w:top w:val="none" w:sz="0" w:space="0" w:color="auto"/>
        <w:left w:val="none" w:sz="0" w:space="0" w:color="auto"/>
        <w:bottom w:val="none" w:sz="0" w:space="0" w:color="auto"/>
        <w:right w:val="none" w:sz="0" w:space="0" w:color="auto"/>
      </w:divBdr>
    </w:div>
    <w:div w:id="1085960482">
      <w:bodyDiv w:val="1"/>
      <w:marLeft w:val="0"/>
      <w:marRight w:val="0"/>
      <w:marTop w:val="0"/>
      <w:marBottom w:val="0"/>
      <w:divBdr>
        <w:top w:val="none" w:sz="0" w:space="0" w:color="auto"/>
        <w:left w:val="none" w:sz="0" w:space="0" w:color="auto"/>
        <w:bottom w:val="none" w:sz="0" w:space="0" w:color="auto"/>
        <w:right w:val="none" w:sz="0" w:space="0" w:color="auto"/>
      </w:divBdr>
    </w:div>
    <w:div w:id="1100563714">
      <w:bodyDiv w:val="1"/>
      <w:marLeft w:val="0"/>
      <w:marRight w:val="0"/>
      <w:marTop w:val="0"/>
      <w:marBottom w:val="0"/>
      <w:divBdr>
        <w:top w:val="none" w:sz="0" w:space="0" w:color="auto"/>
        <w:left w:val="none" w:sz="0" w:space="0" w:color="auto"/>
        <w:bottom w:val="none" w:sz="0" w:space="0" w:color="auto"/>
        <w:right w:val="none" w:sz="0" w:space="0" w:color="auto"/>
      </w:divBdr>
    </w:div>
    <w:div w:id="1128739990">
      <w:bodyDiv w:val="1"/>
      <w:marLeft w:val="0"/>
      <w:marRight w:val="0"/>
      <w:marTop w:val="0"/>
      <w:marBottom w:val="0"/>
      <w:divBdr>
        <w:top w:val="none" w:sz="0" w:space="0" w:color="auto"/>
        <w:left w:val="none" w:sz="0" w:space="0" w:color="auto"/>
        <w:bottom w:val="none" w:sz="0" w:space="0" w:color="auto"/>
        <w:right w:val="none" w:sz="0" w:space="0" w:color="auto"/>
      </w:divBdr>
      <w:divsChild>
        <w:div w:id="1261524923">
          <w:marLeft w:val="547"/>
          <w:marRight w:val="72"/>
          <w:marTop w:val="240"/>
          <w:marBottom w:val="120"/>
          <w:divBdr>
            <w:top w:val="none" w:sz="0" w:space="0" w:color="auto"/>
            <w:left w:val="none" w:sz="0" w:space="0" w:color="auto"/>
            <w:bottom w:val="none" w:sz="0" w:space="0" w:color="auto"/>
            <w:right w:val="none" w:sz="0" w:space="0" w:color="auto"/>
          </w:divBdr>
        </w:div>
        <w:div w:id="1048459883">
          <w:marLeft w:val="547"/>
          <w:marRight w:val="72"/>
          <w:marTop w:val="240"/>
          <w:marBottom w:val="120"/>
          <w:divBdr>
            <w:top w:val="none" w:sz="0" w:space="0" w:color="auto"/>
            <w:left w:val="none" w:sz="0" w:space="0" w:color="auto"/>
            <w:bottom w:val="none" w:sz="0" w:space="0" w:color="auto"/>
            <w:right w:val="none" w:sz="0" w:space="0" w:color="auto"/>
          </w:divBdr>
        </w:div>
        <w:div w:id="862131225">
          <w:marLeft w:val="547"/>
          <w:marRight w:val="72"/>
          <w:marTop w:val="240"/>
          <w:marBottom w:val="120"/>
          <w:divBdr>
            <w:top w:val="none" w:sz="0" w:space="0" w:color="auto"/>
            <w:left w:val="none" w:sz="0" w:space="0" w:color="auto"/>
            <w:bottom w:val="none" w:sz="0" w:space="0" w:color="auto"/>
            <w:right w:val="none" w:sz="0" w:space="0" w:color="auto"/>
          </w:divBdr>
        </w:div>
        <w:div w:id="723020043">
          <w:marLeft w:val="547"/>
          <w:marRight w:val="72"/>
          <w:marTop w:val="240"/>
          <w:marBottom w:val="120"/>
          <w:divBdr>
            <w:top w:val="none" w:sz="0" w:space="0" w:color="auto"/>
            <w:left w:val="none" w:sz="0" w:space="0" w:color="auto"/>
            <w:bottom w:val="none" w:sz="0" w:space="0" w:color="auto"/>
            <w:right w:val="none" w:sz="0" w:space="0" w:color="auto"/>
          </w:divBdr>
        </w:div>
        <w:div w:id="1946620523">
          <w:marLeft w:val="547"/>
          <w:marRight w:val="72"/>
          <w:marTop w:val="240"/>
          <w:marBottom w:val="120"/>
          <w:divBdr>
            <w:top w:val="none" w:sz="0" w:space="0" w:color="auto"/>
            <w:left w:val="none" w:sz="0" w:space="0" w:color="auto"/>
            <w:bottom w:val="none" w:sz="0" w:space="0" w:color="auto"/>
            <w:right w:val="none" w:sz="0" w:space="0" w:color="auto"/>
          </w:divBdr>
        </w:div>
        <w:div w:id="1650211717">
          <w:marLeft w:val="1267"/>
          <w:marRight w:val="72"/>
          <w:marTop w:val="240"/>
          <w:marBottom w:val="120"/>
          <w:divBdr>
            <w:top w:val="none" w:sz="0" w:space="0" w:color="auto"/>
            <w:left w:val="none" w:sz="0" w:space="0" w:color="auto"/>
            <w:bottom w:val="none" w:sz="0" w:space="0" w:color="auto"/>
            <w:right w:val="none" w:sz="0" w:space="0" w:color="auto"/>
          </w:divBdr>
        </w:div>
        <w:div w:id="363218002">
          <w:marLeft w:val="1267"/>
          <w:marRight w:val="72"/>
          <w:marTop w:val="240"/>
          <w:marBottom w:val="120"/>
          <w:divBdr>
            <w:top w:val="none" w:sz="0" w:space="0" w:color="auto"/>
            <w:left w:val="none" w:sz="0" w:space="0" w:color="auto"/>
            <w:bottom w:val="none" w:sz="0" w:space="0" w:color="auto"/>
            <w:right w:val="none" w:sz="0" w:space="0" w:color="auto"/>
          </w:divBdr>
        </w:div>
        <w:div w:id="1591888275">
          <w:marLeft w:val="1267"/>
          <w:marRight w:val="72"/>
          <w:marTop w:val="240"/>
          <w:marBottom w:val="120"/>
          <w:divBdr>
            <w:top w:val="none" w:sz="0" w:space="0" w:color="auto"/>
            <w:left w:val="none" w:sz="0" w:space="0" w:color="auto"/>
            <w:bottom w:val="none" w:sz="0" w:space="0" w:color="auto"/>
            <w:right w:val="none" w:sz="0" w:space="0" w:color="auto"/>
          </w:divBdr>
        </w:div>
        <w:div w:id="1254778442">
          <w:marLeft w:val="547"/>
          <w:marRight w:val="72"/>
          <w:marTop w:val="240"/>
          <w:marBottom w:val="120"/>
          <w:divBdr>
            <w:top w:val="none" w:sz="0" w:space="0" w:color="auto"/>
            <w:left w:val="none" w:sz="0" w:space="0" w:color="auto"/>
            <w:bottom w:val="none" w:sz="0" w:space="0" w:color="auto"/>
            <w:right w:val="none" w:sz="0" w:space="0" w:color="auto"/>
          </w:divBdr>
        </w:div>
      </w:divsChild>
    </w:div>
    <w:div w:id="1203981703">
      <w:bodyDiv w:val="1"/>
      <w:marLeft w:val="0"/>
      <w:marRight w:val="0"/>
      <w:marTop w:val="0"/>
      <w:marBottom w:val="0"/>
      <w:divBdr>
        <w:top w:val="none" w:sz="0" w:space="0" w:color="auto"/>
        <w:left w:val="none" w:sz="0" w:space="0" w:color="auto"/>
        <w:bottom w:val="none" w:sz="0" w:space="0" w:color="auto"/>
        <w:right w:val="none" w:sz="0" w:space="0" w:color="auto"/>
      </w:divBdr>
    </w:div>
    <w:div w:id="1219122586">
      <w:bodyDiv w:val="1"/>
      <w:marLeft w:val="0"/>
      <w:marRight w:val="0"/>
      <w:marTop w:val="0"/>
      <w:marBottom w:val="0"/>
      <w:divBdr>
        <w:top w:val="none" w:sz="0" w:space="0" w:color="auto"/>
        <w:left w:val="none" w:sz="0" w:space="0" w:color="auto"/>
        <w:bottom w:val="none" w:sz="0" w:space="0" w:color="auto"/>
        <w:right w:val="none" w:sz="0" w:space="0" w:color="auto"/>
      </w:divBdr>
    </w:div>
    <w:div w:id="1527906494">
      <w:bodyDiv w:val="1"/>
      <w:marLeft w:val="0"/>
      <w:marRight w:val="0"/>
      <w:marTop w:val="0"/>
      <w:marBottom w:val="0"/>
      <w:divBdr>
        <w:top w:val="none" w:sz="0" w:space="0" w:color="auto"/>
        <w:left w:val="none" w:sz="0" w:space="0" w:color="auto"/>
        <w:bottom w:val="none" w:sz="0" w:space="0" w:color="auto"/>
        <w:right w:val="none" w:sz="0" w:space="0" w:color="auto"/>
      </w:divBdr>
    </w:div>
    <w:div w:id="1600484619">
      <w:bodyDiv w:val="1"/>
      <w:marLeft w:val="0"/>
      <w:marRight w:val="0"/>
      <w:marTop w:val="0"/>
      <w:marBottom w:val="0"/>
      <w:divBdr>
        <w:top w:val="none" w:sz="0" w:space="0" w:color="auto"/>
        <w:left w:val="none" w:sz="0" w:space="0" w:color="auto"/>
        <w:bottom w:val="none" w:sz="0" w:space="0" w:color="auto"/>
        <w:right w:val="none" w:sz="0" w:space="0" w:color="auto"/>
      </w:divBdr>
    </w:div>
    <w:div w:id="1633244747">
      <w:bodyDiv w:val="1"/>
      <w:marLeft w:val="0"/>
      <w:marRight w:val="0"/>
      <w:marTop w:val="0"/>
      <w:marBottom w:val="0"/>
      <w:divBdr>
        <w:top w:val="none" w:sz="0" w:space="0" w:color="auto"/>
        <w:left w:val="none" w:sz="0" w:space="0" w:color="auto"/>
        <w:bottom w:val="none" w:sz="0" w:space="0" w:color="auto"/>
        <w:right w:val="none" w:sz="0" w:space="0" w:color="auto"/>
      </w:divBdr>
    </w:div>
    <w:div w:id="1728914459">
      <w:bodyDiv w:val="1"/>
      <w:marLeft w:val="0"/>
      <w:marRight w:val="0"/>
      <w:marTop w:val="0"/>
      <w:marBottom w:val="0"/>
      <w:divBdr>
        <w:top w:val="none" w:sz="0" w:space="0" w:color="auto"/>
        <w:left w:val="none" w:sz="0" w:space="0" w:color="auto"/>
        <w:bottom w:val="none" w:sz="0" w:space="0" w:color="auto"/>
        <w:right w:val="none" w:sz="0" w:space="0" w:color="auto"/>
      </w:divBdr>
    </w:div>
    <w:div w:id="1818721758">
      <w:bodyDiv w:val="1"/>
      <w:marLeft w:val="0"/>
      <w:marRight w:val="0"/>
      <w:marTop w:val="0"/>
      <w:marBottom w:val="0"/>
      <w:divBdr>
        <w:top w:val="none" w:sz="0" w:space="0" w:color="auto"/>
        <w:left w:val="none" w:sz="0" w:space="0" w:color="auto"/>
        <w:bottom w:val="none" w:sz="0" w:space="0" w:color="auto"/>
        <w:right w:val="none" w:sz="0" w:space="0" w:color="auto"/>
      </w:divBdr>
    </w:div>
    <w:div w:id="1834639976">
      <w:bodyDiv w:val="1"/>
      <w:marLeft w:val="0"/>
      <w:marRight w:val="0"/>
      <w:marTop w:val="0"/>
      <w:marBottom w:val="0"/>
      <w:divBdr>
        <w:top w:val="none" w:sz="0" w:space="0" w:color="auto"/>
        <w:left w:val="none" w:sz="0" w:space="0" w:color="auto"/>
        <w:bottom w:val="none" w:sz="0" w:space="0" w:color="auto"/>
        <w:right w:val="none" w:sz="0" w:space="0" w:color="auto"/>
      </w:divBdr>
    </w:div>
    <w:div w:id="1982539737">
      <w:bodyDiv w:val="1"/>
      <w:marLeft w:val="0"/>
      <w:marRight w:val="0"/>
      <w:marTop w:val="0"/>
      <w:marBottom w:val="0"/>
      <w:divBdr>
        <w:top w:val="none" w:sz="0" w:space="0" w:color="auto"/>
        <w:left w:val="none" w:sz="0" w:space="0" w:color="auto"/>
        <w:bottom w:val="none" w:sz="0" w:space="0" w:color="auto"/>
        <w:right w:val="none" w:sz="0" w:space="0" w:color="auto"/>
      </w:divBdr>
    </w:div>
    <w:div w:id="2040541976">
      <w:bodyDiv w:val="1"/>
      <w:marLeft w:val="0"/>
      <w:marRight w:val="0"/>
      <w:marTop w:val="0"/>
      <w:marBottom w:val="0"/>
      <w:divBdr>
        <w:top w:val="none" w:sz="0" w:space="0" w:color="auto"/>
        <w:left w:val="none" w:sz="0" w:space="0" w:color="auto"/>
        <w:bottom w:val="none" w:sz="0" w:space="0" w:color="auto"/>
        <w:right w:val="none" w:sz="0" w:space="0" w:color="auto"/>
      </w:divBdr>
    </w:div>
    <w:div w:id="20586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AB291.8D39D2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Worstead Sarah</dc:creator>
  <cp:keywords/>
  <dc:description/>
  <cp:lastModifiedBy>Keighley Louise</cp:lastModifiedBy>
  <cp:revision>4</cp:revision>
  <dcterms:created xsi:type="dcterms:W3CDTF">2024-05-30T12:25:00Z</dcterms:created>
  <dcterms:modified xsi:type="dcterms:W3CDTF">2024-06-03T08:50:00Z</dcterms:modified>
</cp:coreProperties>
</file>